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48EB6FAD"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37BB62B7">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SUMMARY SHEETS : ARTICLE  </w:t>
      </w:r>
      <w:r w:rsidR="008622E5">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15 </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6386026D" w14:textId="11FE7F74" w:rsidR="008622E5" w:rsidRPr="00D355DF" w:rsidRDefault="009F095C" w:rsidP="008622E5">
                            <w:pPr>
                              <w:rPr>
                                <w:rFonts w:asciiTheme="majorHAnsi" w:hAnsiTheme="majorHAnsi" w:cstheme="majorHAnsi"/>
                                <w:b/>
                                <w:i/>
                              </w:rPr>
                            </w:pPr>
                            <w:r>
                              <w:rPr>
                                <w:b/>
                                <w:i/>
                              </w:rPr>
                              <w:t>“</w:t>
                            </w:r>
                            <w:r w:rsidR="008622E5" w:rsidRPr="00D355DF">
                              <w:rPr>
                                <w:rFonts w:asciiTheme="majorHAnsi" w:hAnsiTheme="majorHAnsi" w:cstheme="majorHAnsi"/>
                                <w:b/>
                                <w:i/>
                              </w:rPr>
                              <w:t>Freedom to choose an occupation and right to engage in work</w:t>
                            </w:r>
                          </w:p>
                          <w:p w14:paraId="27180743" w14:textId="77777777" w:rsidR="008622E5" w:rsidRPr="00D355DF" w:rsidRDefault="008622E5" w:rsidP="008622E5">
                            <w:pPr>
                              <w:jc w:val="both"/>
                              <w:rPr>
                                <w:rFonts w:asciiTheme="majorHAnsi" w:hAnsiTheme="majorHAnsi" w:cstheme="majorHAnsi"/>
                              </w:rPr>
                            </w:pPr>
                          </w:p>
                          <w:p w14:paraId="5FDB4BE3"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1. Everyone has the right to engage in work and to pursue a freely chosen or accepted occupation.</w:t>
                            </w:r>
                          </w:p>
                          <w:p w14:paraId="7AFB264B"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2. Every citizen of the Union has the freedom to seek employment, to work, to exercise the right of establishment and to provide services in any Member State.</w:t>
                            </w:r>
                          </w:p>
                          <w:p w14:paraId="0FF8FB7E"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3. Nationals of third countries who are authorised to work in the territories of the Member States are entitled to working conditions equivalent to those of citizens of the Union”</w:t>
                            </w: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6386026D" w14:textId="11FE7F74" w:rsidR="008622E5" w:rsidRPr="00D355DF" w:rsidRDefault="009F095C" w:rsidP="008622E5">
                      <w:pPr>
                        <w:rPr>
                          <w:rFonts w:asciiTheme="majorHAnsi" w:hAnsiTheme="majorHAnsi" w:cstheme="majorHAnsi"/>
                          <w:b/>
                          <w:i/>
                        </w:rPr>
                      </w:pPr>
                      <w:r>
                        <w:rPr>
                          <w:b/>
                          <w:i/>
                        </w:rPr>
                        <w:t>“</w:t>
                      </w:r>
                      <w:r w:rsidR="008622E5" w:rsidRPr="00D355DF">
                        <w:rPr>
                          <w:rFonts w:asciiTheme="majorHAnsi" w:hAnsiTheme="majorHAnsi" w:cstheme="majorHAnsi"/>
                          <w:b/>
                          <w:i/>
                        </w:rPr>
                        <w:t>Freedom to choose an occupation and right to engage in work</w:t>
                      </w:r>
                    </w:p>
                    <w:p w14:paraId="27180743" w14:textId="77777777" w:rsidR="008622E5" w:rsidRPr="00D355DF" w:rsidRDefault="008622E5" w:rsidP="008622E5">
                      <w:pPr>
                        <w:jc w:val="both"/>
                        <w:rPr>
                          <w:rFonts w:asciiTheme="majorHAnsi" w:hAnsiTheme="majorHAnsi" w:cstheme="majorHAnsi"/>
                        </w:rPr>
                      </w:pPr>
                    </w:p>
                    <w:p w14:paraId="5FDB4BE3"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1. Everyone has the right to engage in work and to pursue a freely chosen or accepted occupation.</w:t>
                      </w:r>
                    </w:p>
                    <w:p w14:paraId="7AFB264B"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2. Every citizen of the Union has the freedom to seek employment, to work, to exercise the right of establishment and to provide services in any Member State.</w:t>
                      </w:r>
                    </w:p>
                    <w:p w14:paraId="0FF8FB7E" w14:textId="77777777" w:rsidR="008622E5" w:rsidRPr="00D355DF" w:rsidRDefault="008622E5" w:rsidP="008622E5">
                      <w:pPr>
                        <w:jc w:val="both"/>
                        <w:rPr>
                          <w:rFonts w:asciiTheme="majorHAnsi" w:hAnsiTheme="majorHAnsi" w:cstheme="majorHAnsi"/>
                          <w:bCs/>
                          <w:i/>
                          <w:lang w:val="en-US"/>
                        </w:rPr>
                      </w:pPr>
                      <w:r w:rsidRPr="00D355DF">
                        <w:rPr>
                          <w:rFonts w:asciiTheme="majorHAnsi" w:hAnsiTheme="majorHAnsi" w:cstheme="majorHAnsi"/>
                          <w:bCs/>
                          <w:i/>
                          <w:lang w:val="en-US"/>
                        </w:rPr>
                        <w:t>3. Nationals of third countries who are authorised to work in the territories of the Member States are entitled to working conditions equivalent to those of citizens of the Union”</w:t>
                      </w: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CA5340" w:rsidRPr="008E2D64" w14:paraId="7247B80F" w14:textId="77777777" w:rsidTr="00CA5340">
        <w:tc>
          <w:tcPr>
            <w:tcW w:w="8494" w:type="dxa"/>
          </w:tcPr>
          <w:p w14:paraId="44A256CC" w14:textId="77777777" w:rsidR="008622E5" w:rsidRDefault="008622E5" w:rsidP="008622E5">
            <w:pPr>
              <w:jc w:val="both"/>
              <w:rPr>
                <w:rFonts w:cstheme="majorHAnsi"/>
                <w:b/>
                <w:bCs/>
                <w:lang w:val="fr-FR"/>
              </w:rPr>
            </w:pPr>
          </w:p>
          <w:p w14:paraId="0467FEF9" w14:textId="5D594469" w:rsidR="008622E5" w:rsidRDefault="008622E5" w:rsidP="008622E5">
            <w:pPr>
              <w:jc w:val="both"/>
              <w:rPr>
                <w:rFonts w:cstheme="majorHAnsi"/>
                <w:b/>
                <w:bCs/>
                <w:lang w:val="fr-FR"/>
              </w:rPr>
            </w:pPr>
            <w:r w:rsidRPr="00AD167E">
              <w:rPr>
                <w:rFonts w:cstheme="majorHAnsi"/>
                <w:b/>
                <w:bCs/>
                <w:lang w:val="fr-FR"/>
              </w:rPr>
              <w:t>Fundamental Principles of Article 15</w:t>
            </w:r>
          </w:p>
          <w:p w14:paraId="3F86F588" w14:textId="77777777" w:rsidR="008622E5" w:rsidRPr="00AD167E" w:rsidRDefault="008622E5" w:rsidP="008622E5">
            <w:pPr>
              <w:jc w:val="both"/>
              <w:rPr>
                <w:rFonts w:cstheme="majorHAnsi"/>
                <w:b/>
                <w:bCs/>
                <w:lang w:val="fr-FR"/>
              </w:rPr>
            </w:pPr>
          </w:p>
          <w:p w14:paraId="24AD4211" w14:textId="77777777" w:rsidR="008622E5" w:rsidRPr="00AD167E" w:rsidRDefault="008622E5" w:rsidP="008622E5">
            <w:pPr>
              <w:numPr>
                <w:ilvl w:val="0"/>
                <w:numId w:val="17"/>
              </w:numPr>
              <w:jc w:val="both"/>
              <w:rPr>
                <w:rFonts w:asciiTheme="majorHAnsi" w:hAnsiTheme="majorHAnsi" w:cstheme="majorHAnsi"/>
                <w:lang w:val="en-GB"/>
              </w:rPr>
            </w:pPr>
            <w:r w:rsidRPr="00AD167E">
              <w:rPr>
                <w:rFonts w:asciiTheme="majorHAnsi" w:hAnsiTheme="majorHAnsi" w:cstheme="majorHAnsi"/>
                <w:b/>
                <w:bCs/>
                <w:lang w:val="en-GB"/>
              </w:rPr>
              <w:t>Right to Work:</w:t>
            </w:r>
            <w:r w:rsidRPr="00AD167E">
              <w:rPr>
                <w:rFonts w:asciiTheme="majorHAnsi" w:hAnsiTheme="majorHAnsi" w:cstheme="majorHAnsi"/>
                <w:lang w:val="en-GB"/>
              </w:rPr>
              <w:t xml:space="preserve"> Article 15(1) guarantees the right to engage in work and pursue a freely chosen or accepted occupation. However, it does </w:t>
            </w:r>
            <w:r w:rsidRPr="00AD167E">
              <w:rPr>
                <w:rFonts w:asciiTheme="majorHAnsi" w:hAnsiTheme="majorHAnsi" w:cstheme="majorHAnsi"/>
                <w:b/>
                <w:bCs/>
                <w:lang w:val="en-GB"/>
              </w:rPr>
              <w:t>not</w:t>
            </w:r>
            <w:r w:rsidRPr="00AD167E">
              <w:rPr>
                <w:rFonts w:asciiTheme="majorHAnsi" w:hAnsiTheme="majorHAnsi" w:cstheme="majorHAnsi"/>
                <w:lang w:val="en-GB"/>
              </w:rPr>
              <w:t xml:space="preserve"> create an absolute right to employment; rather, it ensures access to work </w:t>
            </w:r>
            <w:r w:rsidRPr="00AD167E">
              <w:rPr>
                <w:rFonts w:asciiTheme="majorHAnsi" w:hAnsiTheme="majorHAnsi" w:cstheme="majorHAnsi"/>
                <w:b/>
                <w:bCs/>
                <w:lang w:val="en-GB"/>
              </w:rPr>
              <w:t>free from unjustified restrictions</w:t>
            </w:r>
            <w:r w:rsidRPr="00AD167E">
              <w:rPr>
                <w:rFonts w:asciiTheme="majorHAnsi" w:hAnsiTheme="majorHAnsi" w:cstheme="majorHAnsi"/>
                <w:lang w:val="en-GB"/>
              </w:rPr>
              <w:t xml:space="preserve"> within the EU legal framework.</w:t>
            </w:r>
          </w:p>
          <w:p w14:paraId="25CC5514" w14:textId="77777777" w:rsidR="008622E5" w:rsidRPr="00AD167E" w:rsidRDefault="008622E5" w:rsidP="008622E5">
            <w:pPr>
              <w:numPr>
                <w:ilvl w:val="0"/>
                <w:numId w:val="17"/>
              </w:numPr>
              <w:jc w:val="both"/>
              <w:rPr>
                <w:rFonts w:asciiTheme="majorHAnsi" w:hAnsiTheme="majorHAnsi" w:cstheme="majorHAnsi"/>
                <w:lang w:val="en-GB"/>
              </w:rPr>
            </w:pPr>
            <w:r w:rsidRPr="00AD167E">
              <w:rPr>
                <w:rFonts w:asciiTheme="majorHAnsi" w:hAnsiTheme="majorHAnsi" w:cstheme="majorHAnsi"/>
                <w:b/>
                <w:bCs/>
                <w:lang w:val="en-GB"/>
              </w:rPr>
              <w:t>Freedom of Movement for Workers:</w:t>
            </w:r>
            <w:r w:rsidRPr="00AD167E">
              <w:rPr>
                <w:rFonts w:asciiTheme="majorHAnsi" w:hAnsiTheme="majorHAnsi" w:cstheme="majorHAnsi"/>
                <w:lang w:val="en-GB"/>
              </w:rPr>
              <w:t xml:space="preserve"> Article 15(2) explicitly links to </w:t>
            </w:r>
            <w:r w:rsidRPr="00AD167E">
              <w:rPr>
                <w:rFonts w:asciiTheme="majorHAnsi" w:hAnsiTheme="majorHAnsi" w:cstheme="majorHAnsi"/>
                <w:b/>
                <w:bCs/>
                <w:lang w:val="en-GB"/>
              </w:rPr>
              <w:t>Article 45 TFEU</w:t>
            </w:r>
            <w:r w:rsidRPr="00AD167E">
              <w:rPr>
                <w:rFonts w:asciiTheme="majorHAnsi" w:hAnsiTheme="majorHAnsi" w:cstheme="majorHAnsi"/>
                <w:lang w:val="en-GB"/>
              </w:rPr>
              <w:t xml:space="preserve">, ensuring EU citizens the right to work in any </w:t>
            </w:r>
            <w:r w:rsidRPr="00AD167E">
              <w:rPr>
                <w:rFonts w:asciiTheme="majorHAnsi" w:hAnsiTheme="majorHAnsi" w:cstheme="majorHAnsi"/>
                <w:b/>
                <w:bCs/>
                <w:lang w:val="en-GB"/>
              </w:rPr>
              <w:t>Member State</w:t>
            </w:r>
            <w:r w:rsidRPr="00AD167E">
              <w:rPr>
                <w:rFonts w:asciiTheme="majorHAnsi" w:hAnsiTheme="majorHAnsi" w:cstheme="majorHAnsi"/>
                <w:lang w:val="en-GB"/>
              </w:rPr>
              <w:t xml:space="preserve"> without discrimination based on nationality.</w:t>
            </w:r>
          </w:p>
          <w:p w14:paraId="2AE89E02" w14:textId="77777777" w:rsidR="008622E5" w:rsidRDefault="008622E5" w:rsidP="008622E5">
            <w:pPr>
              <w:numPr>
                <w:ilvl w:val="0"/>
                <w:numId w:val="17"/>
              </w:numPr>
              <w:jc w:val="both"/>
              <w:rPr>
                <w:rFonts w:asciiTheme="majorHAnsi" w:hAnsiTheme="majorHAnsi" w:cstheme="majorHAnsi"/>
                <w:lang w:val="en-GB"/>
              </w:rPr>
            </w:pPr>
            <w:r w:rsidRPr="00AD167E">
              <w:rPr>
                <w:rFonts w:asciiTheme="majorHAnsi" w:hAnsiTheme="majorHAnsi" w:cstheme="majorHAnsi"/>
                <w:b/>
                <w:bCs/>
                <w:lang w:val="en-GB"/>
              </w:rPr>
              <w:t>Third-Country Nationals:</w:t>
            </w:r>
            <w:r w:rsidRPr="00AD167E">
              <w:rPr>
                <w:rFonts w:asciiTheme="majorHAnsi" w:hAnsiTheme="majorHAnsi" w:cstheme="majorHAnsi"/>
                <w:lang w:val="en-GB"/>
              </w:rPr>
              <w:t xml:space="preserve"> Article 15(3) states that non-EU nationals </w:t>
            </w:r>
            <w:r w:rsidRPr="00AD167E">
              <w:rPr>
                <w:rFonts w:asciiTheme="majorHAnsi" w:hAnsiTheme="majorHAnsi" w:cstheme="majorHAnsi"/>
                <w:b/>
                <w:bCs/>
                <w:lang w:val="en-GB"/>
              </w:rPr>
              <w:t>legally residing in the EU</w:t>
            </w:r>
            <w:r w:rsidRPr="00AD167E">
              <w:rPr>
                <w:rFonts w:asciiTheme="majorHAnsi" w:hAnsiTheme="majorHAnsi" w:cstheme="majorHAnsi"/>
                <w:lang w:val="en-GB"/>
              </w:rPr>
              <w:t xml:space="preserve"> have the same working conditions as EU nationals. However, this provision does not guarantee them </w:t>
            </w:r>
            <w:r w:rsidRPr="00AD167E">
              <w:rPr>
                <w:rFonts w:asciiTheme="majorHAnsi" w:hAnsiTheme="majorHAnsi" w:cstheme="majorHAnsi"/>
                <w:b/>
                <w:bCs/>
                <w:lang w:val="en-GB"/>
              </w:rPr>
              <w:t>access</w:t>
            </w:r>
            <w:r w:rsidRPr="00AD167E">
              <w:rPr>
                <w:rFonts w:asciiTheme="majorHAnsi" w:hAnsiTheme="majorHAnsi" w:cstheme="majorHAnsi"/>
                <w:lang w:val="en-GB"/>
              </w:rPr>
              <w:t xml:space="preserve"> to employment unless specified by EU or national law.</w:t>
            </w:r>
          </w:p>
          <w:p w14:paraId="51EC6B09" w14:textId="77777777" w:rsidR="008622E5" w:rsidRPr="00AD167E" w:rsidRDefault="008622E5" w:rsidP="008622E5">
            <w:pPr>
              <w:ind w:left="720"/>
              <w:jc w:val="both"/>
              <w:rPr>
                <w:rFonts w:asciiTheme="majorHAnsi" w:hAnsiTheme="majorHAnsi" w:cstheme="majorHAnsi"/>
                <w:lang w:val="en-GB"/>
              </w:rPr>
            </w:pPr>
          </w:p>
          <w:p w14:paraId="39027FFA" w14:textId="77777777" w:rsidR="008622E5" w:rsidRDefault="008622E5" w:rsidP="008622E5">
            <w:pPr>
              <w:jc w:val="both"/>
              <w:rPr>
                <w:rFonts w:asciiTheme="majorHAnsi" w:hAnsiTheme="majorHAnsi" w:cstheme="majorHAnsi"/>
                <w:b/>
                <w:bCs/>
                <w:lang w:val="fr-FR"/>
              </w:rPr>
            </w:pPr>
            <w:r w:rsidRPr="00AD167E">
              <w:rPr>
                <w:rFonts w:asciiTheme="majorHAnsi" w:hAnsiTheme="majorHAnsi" w:cstheme="majorHAnsi"/>
                <w:b/>
                <w:bCs/>
                <w:lang w:val="fr-FR"/>
              </w:rPr>
              <w:t>Scope of Application</w:t>
            </w:r>
          </w:p>
          <w:p w14:paraId="32971C02" w14:textId="77777777" w:rsidR="008622E5" w:rsidRPr="00AD167E" w:rsidRDefault="008622E5" w:rsidP="008622E5">
            <w:pPr>
              <w:jc w:val="both"/>
              <w:rPr>
                <w:rFonts w:asciiTheme="majorHAnsi" w:hAnsiTheme="majorHAnsi" w:cstheme="majorHAnsi"/>
                <w:b/>
                <w:bCs/>
                <w:lang w:val="fr-FR"/>
              </w:rPr>
            </w:pPr>
          </w:p>
          <w:p w14:paraId="2FF47E13" w14:textId="77777777" w:rsidR="008622E5" w:rsidRPr="00AD167E" w:rsidRDefault="008622E5" w:rsidP="008622E5">
            <w:pPr>
              <w:numPr>
                <w:ilvl w:val="0"/>
                <w:numId w:val="18"/>
              </w:numPr>
              <w:jc w:val="both"/>
              <w:rPr>
                <w:rFonts w:asciiTheme="majorHAnsi" w:hAnsiTheme="majorHAnsi" w:cstheme="majorHAnsi"/>
                <w:lang w:val="en-GB"/>
              </w:rPr>
            </w:pPr>
            <w:r w:rsidRPr="00AD167E">
              <w:rPr>
                <w:rFonts w:asciiTheme="majorHAnsi" w:hAnsiTheme="majorHAnsi" w:cstheme="majorHAnsi"/>
                <w:lang w:val="en-GB"/>
              </w:rPr>
              <w:t xml:space="preserve">Article 15 applies </w:t>
            </w:r>
            <w:r w:rsidRPr="00AD167E">
              <w:rPr>
                <w:rFonts w:asciiTheme="majorHAnsi" w:hAnsiTheme="majorHAnsi" w:cstheme="majorHAnsi"/>
                <w:b/>
                <w:bCs/>
                <w:lang w:val="en-GB"/>
              </w:rPr>
              <w:t>only when a case falls within the scope of EU law</w:t>
            </w:r>
            <w:r w:rsidRPr="00AD167E">
              <w:rPr>
                <w:rFonts w:asciiTheme="majorHAnsi" w:hAnsiTheme="majorHAnsi" w:cstheme="majorHAnsi"/>
                <w:lang w:val="en-GB"/>
              </w:rPr>
              <w:t>, meaning that purely national employment laws and policies do not automatically trigger its protection.</w:t>
            </w:r>
          </w:p>
          <w:p w14:paraId="51957A17" w14:textId="77777777" w:rsidR="008622E5" w:rsidRPr="00AD167E" w:rsidRDefault="008622E5" w:rsidP="008622E5">
            <w:pPr>
              <w:numPr>
                <w:ilvl w:val="0"/>
                <w:numId w:val="18"/>
              </w:numPr>
              <w:jc w:val="both"/>
              <w:rPr>
                <w:rFonts w:asciiTheme="majorHAnsi" w:hAnsiTheme="majorHAnsi" w:cstheme="majorHAnsi"/>
                <w:lang w:val="en-GB"/>
              </w:rPr>
            </w:pPr>
            <w:r w:rsidRPr="00AD167E">
              <w:rPr>
                <w:rFonts w:asciiTheme="majorHAnsi" w:hAnsiTheme="majorHAnsi" w:cstheme="majorHAnsi"/>
                <w:lang w:val="en-GB"/>
              </w:rPr>
              <w:t xml:space="preserve">It is </w:t>
            </w:r>
            <w:r w:rsidRPr="00AD167E">
              <w:rPr>
                <w:rFonts w:asciiTheme="majorHAnsi" w:hAnsiTheme="majorHAnsi" w:cstheme="majorHAnsi"/>
                <w:b/>
                <w:bCs/>
                <w:lang w:val="en-GB"/>
              </w:rPr>
              <w:t>closely linked to free movement rights</w:t>
            </w:r>
            <w:r w:rsidRPr="00AD167E">
              <w:rPr>
                <w:rFonts w:asciiTheme="majorHAnsi" w:hAnsiTheme="majorHAnsi" w:cstheme="majorHAnsi"/>
                <w:lang w:val="en-GB"/>
              </w:rPr>
              <w:t xml:space="preserve">, applying to cross-border employment issues, including </w:t>
            </w:r>
            <w:r w:rsidRPr="00AD167E">
              <w:rPr>
                <w:rFonts w:asciiTheme="majorHAnsi" w:hAnsiTheme="majorHAnsi" w:cstheme="majorHAnsi"/>
                <w:b/>
                <w:bCs/>
                <w:lang w:val="en-GB"/>
              </w:rPr>
              <w:t>recognition of professional qualifications and social security entitlements</w:t>
            </w:r>
            <w:r w:rsidRPr="00AD167E">
              <w:rPr>
                <w:rFonts w:asciiTheme="majorHAnsi" w:hAnsiTheme="majorHAnsi" w:cstheme="majorHAnsi"/>
                <w:lang w:val="en-GB"/>
              </w:rPr>
              <w:t>.</w:t>
            </w:r>
          </w:p>
          <w:p w14:paraId="6E79A05D" w14:textId="77777777" w:rsidR="008622E5" w:rsidRDefault="008622E5" w:rsidP="008622E5">
            <w:pPr>
              <w:jc w:val="both"/>
              <w:rPr>
                <w:rFonts w:asciiTheme="majorHAnsi" w:hAnsiTheme="majorHAnsi" w:cstheme="majorHAnsi"/>
                <w:b/>
                <w:bCs/>
                <w:lang w:val="en-GB"/>
              </w:rPr>
            </w:pPr>
          </w:p>
          <w:p w14:paraId="4B0A1216" w14:textId="77777777" w:rsidR="008622E5" w:rsidRDefault="008622E5" w:rsidP="008622E5">
            <w:pPr>
              <w:jc w:val="both"/>
              <w:rPr>
                <w:rFonts w:asciiTheme="majorHAnsi" w:hAnsiTheme="majorHAnsi" w:cstheme="majorHAnsi"/>
                <w:b/>
                <w:bCs/>
                <w:lang w:val="en-GB"/>
              </w:rPr>
            </w:pPr>
            <w:r w:rsidRPr="00AD167E">
              <w:rPr>
                <w:rFonts w:asciiTheme="majorHAnsi" w:hAnsiTheme="majorHAnsi" w:cstheme="majorHAnsi"/>
                <w:b/>
                <w:bCs/>
                <w:lang w:val="en-GB"/>
              </w:rPr>
              <w:t>Relevance to Employment and Labor Law</w:t>
            </w:r>
          </w:p>
          <w:p w14:paraId="0FCA0BBF" w14:textId="77777777" w:rsidR="008622E5" w:rsidRPr="00AD167E" w:rsidRDefault="008622E5" w:rsidP="008622E5">
            <w:pPr>
              <w:jc w:val="both"/>
              <w:rPr>
                <w:rFonts w:asciiTheme="majorHAnsi" w:hAnsiTheme="majorHAnsi" w:cstheme="majorHAnsi"/>
                <w:b/>
                <w:bCs/>
                <w:lang w:val="en-GB"/>
              </w:rPr>
            </w:pPr>
          </w:p>
          <w:p w14:paraId="5C64AB09" w14:textId="77777777" w:rsidR="008622E5" w:rsidRPr="00AD167E" w:rsidRDefault="008622E5" w:rsidP="008622E5">
            <w:pPr>
              <w:numPr>
                <w:ilvl w:val="0"/>
                <w:numId w:val="19"/>
              </w:numPr>
              <w:jc w:val="both"/>
              <w:rPr>
                <w:rFonts w:asciiTheme="majorHAnsi" w:hAnsiTheme="majorHAnsi" w:cstheme="majorHAnsi"/>
                <w:lang w:val="fr-FR"/>
              </w:rPr>
            </w:pPr>
            <w:r w:rsidRPr="00AD167E">
              <w:rPr>
                <w:rFonts w:asciiTheme="majorHAnsi" w:hAnsiTheme="majorHAnsi" w:cstheme="majorHAnsi"/>
                <w:b/>
                <w:bCs/>
                <w:lang w:val="fr-FR"/>
              </w:rPr>
              <w:t>EU Secondary Legislation:</w:t>
            </w:r>
          </w:p>
          <w:p w14:paraId="1D025854" w14:textId="77777777" w:rsidR="008622E5" w:rsidRPr="00AD167E" w:rsidRDefault="008622E5" w:rsidP="008622E5">
            <w:pPr>
              <w:numPr>
                <w:ilvl w:val="1"/>
                <w:numId w:val="19"/>
              </w:numPr>
              <w:jc w:val="both"/>
              <w:rPr>
                <w:rFonts w:asciiTheme="majorHAnsi" w:hAnsiTheme="majorHAnsi" w:cstheme="majorHAnsi"/>
                <w:lang w:val="en-GB"/>
              </w:rPr>
            </w:pPr>
            <w:r w:rsidRPr="00AD167E">
              <w:rPr>
                <w:rFonts w:asciiTheme="majorHAnsi" w:hAnsiTheme="majorHAnsi" w:cstheme="majorHAnsi"/>
                <w:b/>
                <w:bCs/>
                <w:lang w:val="en-GB"/>
              </w:rPr>
              <w:t>Directive 2006/54/EC (Gender Equality in Employment)</w:t>
            </w:r>
          </w:p>
          <w:p w14:paraId="7E03631B" w14:textId="77777777" w:rsidR="008622E5" w:rsidRPr="00AD167E" w:rsidRDefault="008622E5" w:rsidP="008622E5">
            <w:pPr>
              <w:numPr>
                <w:ilvl w:val="1"/>
                <w:numId w:val="19"/>
              </w:numPr>
              <w:jc w:val="both"/>
              <w:rPr>
                <w:rFonts w:asciiTheme="majorHAnsi" w:hAnsiTheme="majorHAnsi" w:cstheme="majorHAnsi"/>
                <w:lang w:val="en-GB"/>
              </w:rPr>
            </w:pPr>
            <w:r w:rsidRPr="00AD167E">
              <w:rPr>
                <w:rFonts w:asciiTheme="majorHAnsi" w:hAnsiTheme="majorHAnsi" w:cstheme="majorHAnsi"/>
                <w:b/>
                <w:bCs/>
                <w:lang w:val="en-GB"/>
              </w:rPr>
              <w:t>Directive 2000/78/EC (Equal Treatment in Employment and Occupation)</w:t>
            </w:r>
          </w:p>
          <w:p w14:paraId="62FE05C8" w14:textId="77777777" w:rsidR="008622E5" w:rsidRPr="008622E5" w:rsidRDefault="008622E5" w:rsidP="008622E5">
            <w:pPr>
              <w:numPr>
                <w:ilvl w:val="1"/>
                <w:numId w:val="19"/>
              </w:numPr>
              <w:jc w:val="both"/>
              <w:rPr>
                <w:rFonts w:asciiTheme="majorHAnsi" w:hAnsiTheme="majorHAnsi" w:cstheme="majorHAnsi"/>
                <w:lang w:val="en-GB"/>
              </w:rPr>
            </w:pPr>
            <w:r w:rsidRPr="00AD167E">
              <w:rPr>
                <w:rFonts w:asciiTheme="majorHAnsi" w:hAnsiTheme="majorHAnsi" w:cstheme="majorHAnsi"/>
                <w:b/>
                <w:bCs/>
                <w:lang w:val="en-GB"/>
              </w:rPr>
              <w:lastRenderedPageBreak/>
              <w:t>Directive 2011/98/EU (Single Permit Directive for Third-Country Workers)</w:t>
            </w:r>
          </w:p>
          <w:p w14:paraId="6126D10F" w14:textId="77777777" w:rsidR="008622E5" w:rsidRPr="00AD167E" w:rsidRDefault="008622E5" w:rsidP="008622E5">
            <w:pPr>
              <w:ind w:left="1440"/>
              <w:jc w:val="both"/>
              <w:rPr>
                <w:rFonts w:asciiTheme="majorHAnsi" w:hAnsiTheme="majorHAnsi" w:cstheme="majorHAnsi"/>
                <w:lang w:val="en-GB"/>
              </w:rPr>
            </w:pPr>
          </w:p>
          <w:p w14:paraId="4630B6FA" w14:textId="77777777" w:rsidR="008622E5" w:rsidRPr="00AD167E" w:rsidRDefault="008622E5" w:rsidP="008622E5">
            <w:pPr>
              <w:numPr>
                <w:ilvl w:val="0"/>
                <w:numId w:val="19"/>
              </w:numPr>
              <w:jc w:val="both"/>
              <w:rPr>
                <w:rFonts w:asciiTheme="majorHAnsi" w:hAnsiTheme="majorHAnsi" w:cstheme="majorHAnsi"/>
                <w:lang w:val="fr-FR"/>
              </w:rPr>
            </w:pPr>
            <w:r w:rsidRPr="00AD167E">
              <w:rPr>
                <w:rFonts w:asciiTheme="majorHAnsi" w:hAnsiTheme="majorHAnsi" w:cstheme="majorHAnsi"/>
                <w:b/>
                <w:bCs/>
                <w:lang w:val="fr-FR"/>
              </w:rPr>
              <w:t>The Role of EURES:</w:t>
            </w:r>
          </w:p>
          <w:p w14:paraId="55E86F2F" w14:textId="77777777" w:rsidR="008622E5" w:rsidRPr="00AD167E" w:rsidRDefault="008622E5" w:rsidP="008622E5">
            <w:pPr>
              <w:numPr>
                <w:ilvl w:val="1"/>
                <w:numId w:val="19"/>
              </w:numPr>
              <w:jc w:val="both"/>
              <w:rPr>
                <w:rFonts w:asciiTheme="majorHAnsi" w:hAnsiTheme="majorHAnsi" w:cstheme="majorHAnsi"/>
                <w:lang w:val="en-GB"/>
              </w:rPr>
            </w:pPr>
            <w:r w:rsidRPr="00D355DF">
              <w:rPr>
                <w:rFonts w:asciiTheme="majorHAnsi" w:hAnsiTheme="majorHAnsi" w:cstheme="majorHAnsi"/>
                <w:bCs/>
                <w:lang w:val="en-US"/>
              </w:rPr>
              <w:t>The EU created the EURES network between the European Commission and the Member States to facilitate workers' effective exercise of their right to work in other Member States (</w:t>
            </w:r>
            <w:r w:rsidRPr="00AB5D5C">
              <w:rPr>
                <w:rFonts w:asciiTheme="majorHAnsi" w:hAnsiTheme="majorHAnsi" w:cstheme="majorHAnsi"/>
                <w:bCs/>
                <w:color w:val="002060"/>
                <w:lang w:val="en-US"/>
              </w:rPr>
              <w:t>Regulation 2016/589</w:t>
            </w:r>
            <w:r w:rsidRPr="00D355DF">
              <w:rPr>
                <w:rFonts w:asciiTheme="majorHAnsi" w:hAnsiTheme="majorHAnsi" w:cstheme="majorHAnsi"/>
                <w:bCs/>
                <w:lang w:val="en-US"/>
              </w:rPr>
              <w:t>)</w:t>
            </w:r>
          </w:p>
          <w:p w14:paraId="50FE3A29" w14:textId="77777777" w:rsidR="008622E5" w:rsidRDefault="008622E5" w:rsidP="008622E5">
            <w:pPr>
              <w:numPr>
                <w:ilvl w:val="1"/>
                <w:numId w:val="19"/>
              </w:numPr>
              <w:jc w:val="both"/>
              <w:rPr>
                <w:rFonts w:asciiTheme="majorHAnsi" w:hAnsiTheme="majorHAnsi" w:cstheme="majorHAnsi"/>
                <w:lang w:val="en-GB"/>
              </w:rPr>
            </w:pPr>
            <w:r w:rsidRPr="00AD167E">
              <w:rPr>
                <w:rFonts w:asciiTheme="majorHAnsi" w:hAnsiTheme="majorHAnsi" w:cstheme="majorHAnsi"/>
                <w:lang w:val="en-GB"/>
              </w:rPr>
              <w:t xml:space="preserve">EURES provides </w:t>
            </w:r>
            <w:r w:rsidRPr="00AD167E">
              <w:rPr>
                <w:rFonts w:asciiTheme="majorHAnsi" w:hAnsiTheme="majorHAnsi" w:cstheme="majorHAnsi"/>
                <w:b/>
                <w:bCs/>
                <w:lang w:val="en-GB"/>
              </w:rPr>
              <w:t>job-matching services, legal advice, and support for workers</w:t>
            </w:r>
            <w:r w:rsidRPr="00AD167E">
              <w:rPr>
                <w:rFonts w:asciiTheme="majorHAnsi" w:hAnsiTheme="majorHAnsi" w:cstheme="majorHAnsi"/>
                <w:lang w:val="en-GB"/>
              </w:rPr>
              <w:t xml:space="preserve"> facing barriers to employment due to nationality or administrative restrictions.</w:t>
            </w:r>
          </w:p>
          <w:p w14:paraId="0CAC4F93" w14:textId="77777777" w:rsidR="008622E5" w:rsidRPr="00AD167E" w:rsidRDefault="008622E5" w:rsidP="008622E5">
            <w:pPr>
              <w:ind w:left="1440"/>
              <w:jc w:val="both"/>
              <w:rPr>
                <w:rFonts w:asciiTheme="majorHAnsi" w:hAnsiTheme="majorHAnsi" w:cstheme="majorHAnsi"/>
                <w:lang w:val="en-GB"/>
              </w:rPr>
            </w:pPr>
          </w:p>
          <w:p w14:paraId="440A19CD" w14:textId="77777777" w:rsidR="008622E5" w:rsidRDefault="008622E5" w:rsidP="008622E5">
            <w:pPr>
              <w:jc w:val="both"/>
              <w:rPr>
                <w:rFonts w:asciiTheme="majorHAnsi" w:hAnsiTheme="majorHAnsi" w:cstheme="majorHAnsi"/>
                <w:b/>
                <w:bCs/>
                <w:lang w:val="fr-FR"/>
              </w:rPr>
            </w:pPr>
            <w:r w:rsidRPr="00AD167E">
              <w:rPr>
                <w:rFonts w:asciiTheme="majorHAnsi" w:hAnsiTheme="majorHAnsi" w:cstheme="majorHAnsi"/>
                <w:b/>
                <w:bCs/>
                <w:lang w:val="fr-FR"/>
              </w:rPr>
              <w:t>Complementarity with Other Legal Instruments</w:t>
            </w:r>
          </w:p>
          <w:p w14:paraId="3A1915FF" w14:textId="77777777" w:rsidR="008622E5" w:rsidRPr="00AD167E" w:rsidRDefault="008622E5" w:rsidP="008622E5">
            <w:pPr>
              <w:jc w:val="both"/>
              <w:rPr>
                <w:rFonts w:asciiTheme="majorHAnsi" w:hAnsiTheme="majorHAnsi" w:cstheme="majorHAnsi"/>
                <w:b/>
                <w:bCs/>
                <w:lang w:val="fr-FR"/>
              </w:rPr>
            </w:pPr>
          </w:p>
          <w:p w14:paraId="528C9E52" w14:textId="77777777" w:rsidR="008622E5" w:rsidRPr="00AD167E" w:rsidRDefault="008622E5" w:rsidP="008622E5">
            <w:pPr>
              <w:numPr>
                <w:ilvl w:val="0"/>
                <w:numId w:val="20"/>
              </w:numPr>
              <w:jc w:val="both"/>
              <w:rPr>
                <w:rFonts w:asciiTheme="majorHAnsi" w:hAnsiTheme="majorHAnsi" w:cstheme="majorHAnsi"/>
                <w:lang w:val="en-GB"/>
              </w:rPr>
            </w:pPr>
            <w:r w:rsidRPr="00AD167E">
              <w:rPr>
                <w:rFonts w:asciiTheme="majorHAnsi" w:hAnsiTheme="majorHAnsi" w:cstheme="majorHAnsi"/>
                <w:b/>
                <w:bCs/>
                <w:lang w:val="en-GB"/>
              </w:rPr>
              <w:t>European Social Charter (Council of Europe)</w:t>
            </w:r>
            <w:r w:rsidRPr="00AD167E">
              <w:rPr>
                <w:rFonts w:asciiTheme="majorHAnsi" w:hAnsiTheme="majorHAnsi" w:cstheme="majorHAnsi"/>
                <w:lang w:val="en-GB"/>
              </w:rPr>
              <w:t>: Ensures protection for workers, particularly regarding fair working conditions.</w:t>
            </w:r>
          </w:p>
          <w:p w14:paraId="77A28940" w14:textId="77777777" w:rsidR="008622E5" w:rsidRPr="00AD167E" w:rsidRDefault="008622E5" w:rsidP="008622E5">
            <w:pPr>
              <w:numPr>
                <w:ilvl w:val="0"/>
                <w:numId w:val="20"/>
              </w:numPr>
              <w:jc w:val="both"/>
              <w:rPr>
                <w:rFonts w:asciiTheme="majorHAnsi" w:hAnsiTheme="majorHAnsi" w:cstheme="majorHAnsi"/>
                <w:lang w:val="en-GB"/>
              </w:rPr>
            </w:pPr>
            <w:r w:rsidRPr="00AD167E">
              <w:rPr>
                <w:rFonts w:asciiTheme="majorHAnsi" w:hAnsiTheme="majorHAnsi" w:cstheme="majorHAnsi"/>
                <w:b/>
                <w:bCs/>
                <w:lang w:val="en-GB"/>
              </w:rPr>
              <w:t>Article 23 of the Universal Declaration of Human Rights</w:t>
            </w:r>
            <w:r w:rsidRPr="00AD167E">
              <w:rPr>
                <w:rFonts w:asciiTheme="majorHAnsi" w:hAnsiTheme="majorHAnsi" w:cstheme="majorHAnsi"/>
                <w:lang w:val="en-GB"/>
              </w:rPr>
              <w:t>: Affirms the right to work under just conditions.</w:t>
            </w:r>
          </w:p>
          <w:p w14:paraId="317857CF" w14:textId="77777777" w:rsidR="008622E5" w:rsidRDefault="008622E5" w:rsidP="008622E5">
            <w:pPr>
              <w:numPr>
                <w:ilvl w:val="0"/>
                <w:numId w:val="20"/>
              </w:numPr>
              <w:jc w:val="both"/>
              <w:rPr>
                <w:rFonts w:asciiTheme="majorHAnsi" w:hAnsiTheme="majorHAnsi" w:cstheme="majorHAnsi"/>
                <w:lang w:val="en-GB"/>
              </w:rPr>
            </w:pPr>
            <w:r w:rsidRPr="00AD167E">
              <w:rPr>
                <w:rFonts w:asciiTheme="majorHAnsi" w:hAnsiTheme="majorHAnsi" w:cstheme="majorHAnsi"/>
                <w:b/>
                <w:bCs/>
                <w:lang w:val="en-GB"/>
              </w:rPr>
              <w:t>EU Charter vs. National Laws</w:t>
            </w:r>
            <w:r w:rsidRPr="00AD167E">
              <w:rPr>
                <w:rFonts w:asciiTheme="majorHAnsi" w:hAnsiTheme="majorHAnsi" w:cstheme="majorHAnsi"/>
                <w:lang w:val="en-GB"/>
              </w:rPr>
              <w:t xml:space="preserve">: Article 15 does </w:t>
            </w:r>
            <w:r w:rsidRPr="00AD167E">
              <w:rPr>
                <w:rFonts w:asciiTheme="majorHAnsi" w:hAnsiTheme="majorHAnsi" w:cstheme="majorHAnsi"/>
                <w:b/>
                <w:bCs/>
                <w:lang w:val="en-GB"/>
              </w:rPr>
              <w:t>not</w:t>
            </w:r>
            <w:r w:rsidRPr="00AD167E">
              <w:rPr>
                <w:rFonts w:asciiTheme="majorHAnsi" w:hAnsiTheme="majorHAnsi" w:cstheme="majorHAnsi"/>
                <w:lang w:val="en-GB"/>
              </w:rPr>
              <w:t xml:space="preserve"> create a universal right to employment but ensures </w:t>
            </w:r>
            <w:r w:rsidRPr="00AD167E">
              <w:rPr>
                <w:rFonts w:asciiTheme="majorHAnsi" w:hAnsiTheme="majorHAnsi" w:cstheme="majorHAnsi"/>
                <w:b/>
                <w:bCs/>
                <w:lang w:val="en-GB"/>
              </w:rPr>
              <w:t>non-discrimination and free access to jobs within EU law frameworks</w:t>
            </w:r>
            <w:r w:rsidRPr="00AD167E">
              <w:rPr>
                <w:rFonts w:asciiTheme="majorHAnsi" w:hAnsiTheme="majorHAnsi" w:cstheme="majorHAnsi"/>
                <w:lang w:val="en-GB"/>
              </w:rPr>
              <w:t>.</w:t>
            </w:r>
          </w:p>
          <w:p w14:paraId="5C613C75" w14:textId="77777777" w:rsidR="008622E5" w:rsidRPr="00AD167E" w:rsidRDefault="008622E5" w:rsidP="008622E5">
            <w:pPr>
              <w:ind w:left="720"/>
              <w:jc w:val="both"/>
              <w:rPr>
                <w:rFonts w:asciiTheme="majorHAnsi" w:hAnsiTheme="majorHAnsi" w:cstheme="majorHAnsi"/>
                <w:lang w:val="en-GB"/>
              </w:rPr>
            </w:pPr>
          </w:p>
          <w:p w14:paraId="70CD67E7" w14:textId="77777777" w:rsidR="008622E5" w:rsidRDefault="008622E5" w:rsidP="008622E5">
            <w:pPr>
              <w:jc w:val="both"/>
              <w:rPr>
                <w:rFonts w:asciiTheme="majorHAnsi" w:hAnsiTheme="majorHAnsi" w:cstheme="majorHAnsi"/>
                <w:b/>
                <w:bCs/>
                <w:lang w:val="en-GB"/>
              </w:rPr>
            </w:pPr>
            <w:r w:rsidRPr="00AD167E">
              <w:rPr>
                <w:rFonts w:asciiTheme="majorHAnsi" w:hAnsiTheme="majorHAnsi" w:cstheme="majorHAnsi"/>
                <w:b/>
                <w:bCs/>
                <w:lang w:val="en-GB"/>
              </w:rPr>
              <w:t>Conclusion</w:t>
            </w:r>
          </w:p>
          <w:p w14:paraId="120B0154" w14:textId="77777777" w:rsidR="008622E5" w:rsidRPr="00AD167E" w:rsidRDefault="008622E5" w:rsidP="008622E5">
            <w:pPr>
              <w:jc w:val="both"/>
              <w:rPr>
                <w:rFonts w:asciiTheme="majorHAnsi" w:hAnsiTheme="majorHAnsi" w:cstheme="majorHAnsi"/>
                <w:b/>
                <w:bCs/>
                <w:lang w:val="en-GB"/>
              </w:rPr>
            </w:pPr>
          </w:p>
          <w:p w14:paraId="1318029B" w14:textId="77777777" w:rsidR="008622E5" w:rsidRPr="00AD167E" w:rsidRDefault="008622E5" w:rsidP="008622E5">
            <w:pPr>
              <w:jc w:val="both"/>
              <w:rPr>
                <w:rFonts w:asciiTheme="majorHAnsi" w:hAnsiTheme="majorHAnsi" w:cstheme="majorHAnsi"/>
                <w:lang w:val="en-GB"/>
              </w:rPr>
            </w:pPr>
            <w:r w:rsidRPr="00AD167E">
              <w:rPr>
                <w:rFonts w:asciiTheme="majorHAnsi" w:hAnsiTheme="majorHAnsi" w:cstheme="majorHAnsi"/>
                <w:lang w:val="en-GB"/>
              </w:rPr>
              <w:t xml:space="preserve">Article 15 provides an </w:t>
            </w:r>
            <w:r w:rsidRPr="00AD167E">
              <w:rPr>
                <w:rFonts w:asciiTheme="majorHAnsi" w:hAnsiTheme="majorHAnsi" w:cstheme="majorHAnsi"/>
                <w:b/>
                <w:bCs/>
                <w:lang w:val="en-GB"/>
              </w:rPr>
              <w:t>essential legal basis</w:t>
            </w:r>
            <w:r w:rsidRPr="00AD167E">
              <w:rPr>
                <w:rFonts w:asciiTheme="majorHAnsi" w:hAnsiTheme="majorHAnsi" w:cstheme="majorHAnsi"/>
                <w:lang w:val="en-GB"/>
              </w:rPr>
              <w:t xml:space="preserve"> for ensuring equal access to employment within the EU, particularly regarding </w:t>
            </w:r>
            <w:r w:rsidRPr="00AD167E">
              <w:rPr>
                <w:rFonts w:asciiTheme="majorHAnsi" w:hAnsiTheme="majorHAnsi" w:cstheme="majorHAnsi"/>
                <w:b/>
                <w:bCs/>
                <w:lang w:val="en-GB"/>
              </w:rPr>
              <w:t>cross-border workers, third-country nationals, and equal treatment protections</w:t>
            </w:r>
            <w:r w:rsidRPr="00AD167E">
              <w:rPr>
                <w:rFonts w:asciiTheme="majorHAnsi" w:hAnsiTheme="majorHAnsi" w:cstheme="majorHAnsi"/>
                <w:lang w:val="en-GB"/>
              </w:rPr>
              <w:t xml:space="preserve">. Lawyers should assess whether their case falls under </w:t>
            </w:r>
            <w:r w:rsidRPr="00AD167E">
              <w:rPr>
                <w:rFonts w:asciiTheme="majorHAnsi" w:hAnsiTheme="majorHAnsi" w:cstheme="majorHAnsi"/>
                <w:b/>
                <w:bCs/>
                <w:lang w:val="en-GB"/>
              </w:rPr>
              <w:t>EU competence</w:t>
            </w:r>
            <w:r w:rsidRPr="00AD167E">
              <w:rPr>
                <w:rFonts w:asciiTheme="majorHAnsi" w:hAnsiTheme="majorHAnsi" w:cstheme="majorHAnsi"/>
                <w:lang w:val="en-GB"/>
              </w:rPr>
              <w:t xml:space="preserve"> and utilize tools like </w:t>
            </w:r>
            <w:r w:rsidRPr="00AD167E">
              <w:rPr>
                <w:rFonts w:asciiTheme="majorHAnsi" w:hAnsiTheme="majorHAnsi" w:cstheme="majorHAnsi"/>
                <w:b/>
                <w:bCs/>
                <w:lang w:val="en-GB"/>
              </w:rPr>
              <w:t>EURES</w:t>
            </w:r>
            <w:r w:rsidRPr="00AD167E">
              <w:rPr>
                <w:rFonts w:asciiTheme="majorHAnsi" w:hAnsiTheme="majorHAnsi" w:cstheme="majorHAnsi"/>
                <w:lang w:val="en-GB"/>
              </w:rPr>
              <w:t xml:space="preserve"> to reinforce employment rights under Article 15.</w:t>
            </w:r>
          </w:p>
          <w:p w14:paraId="2D6E0F25" w14:textId="0ECFC134" w:rsidR="00AF1C04" w:rsidRPr="008622E5" w:rsidRDefault="00AF1C04" w:rsidP="008622E5">
            <w:pPr>
              <w:jc w:val="both"/>
              <w:rPr>
                <w:rFonts w:ascii="Calibri" w:hAnsi="Calibri" w:cs="Calibri"/>
                <w:lang w:val="en-GB"/>
              </w:rPr>
            </w:pPr>
          </w:p>
        </w:tc>
      </w:tr>
      <w:tr w:rsidR="00CA5340" w:rsidRPr="008E2D64" w14:paraId="1FD718D0" w14:textId="77777777" w:rsidTr="00CA5340">
        <w:tc>
          <w:tcPr>
            <w:tcW w:w="8494" w:type="dxa"/>
          </w:tcPr>
          <w:p w14:paraId="4BB5FDD1" w14:textId="49FEFAE4" w:rsidR="00CA5340" w:rsidRPr="009F095C" w:rsidRDefault="009F095C">
            <w:pPr>
              <w:rPr>
                <w:rFonts w:ascii="Calibri" w:hAnsi="Calibri" w:cs="Calibri"/>
                <w:sz w:val="28"/>
                <w:szCs w:val="28"/>
                <w:lang w:val="en-US"/>
              </w:rPr>
            </w:pPr>
            <w:r w:rsidRPr="009F095C">
              <w:rPr>
                <w:b/>
                <w:bCs/>
                <w:color w:val="0070C0"/>
                <w:sz w:val="28"/>
                <w:szCs w:val="28"/>
                <w:lang w:val="en-US"/>
              </w:rPr>
              <w:lastRenderedPageBreak/>
              <w:t>CJEU C</w:t>
            </w:r>
            <w:r w:rsidR="00CA5340" w:rsidRPr="009F095C">
              <w:rPr>
                <w:b/>
                <w:bCs/>
                <w:color w:val="0070C0"/>
                <w:sz w:val="28"/>
                <w:szCs w:val="28"/>
                <w:lang w:val="en-US"/>
              </w:rPr>
              <w:t xml:space="preserve">ase </w:t>
            </w:r>
            <w:r w:rsidRPr="009F095C">
              <w:rPr>
                <w:b/>
                <w:bCs/>
                <w:color w:val="0070C0"/>
                <w:sz w:val="28"/>
                <w:szCs w:val="28"/>
                <w:lang w:val="en-US"/>
              </w:rPr>
              <w:t>L</w:t>
            </w:r>
            <w:r w:rsidR="00CA5340" w:rsidRPr="009F095C">
              <w:rPr>
                <w:b/>
                <w:bCs/>
                <w:color w:val="0070C0"/>
                <w:sz w:val="28"/>
                <w:szCs w:val="28"/>
                <w:lang w:val="en-US"/>
              </w:rPr>
              <w:t>aw</w:t>
            </w:r>
          </w:p>
        </w:tc>
      </w:tr>
      <w:tr w:rsidR="00CA5340" w:rsidRPr="008E2D64" w14:paraId="35FB37BC" w14:textId="77777777" w:rsidTr="00CA5340">
        <w:tc>
          <w:tcPr>
            <w:tcW w:w="8494" w:type="dxa"/>
          </w:tcPr>
          <w:p w14:paraId="2438FC0B" w14:textId="77777777" w:rsidR="009F095C" w:rsidRDefault="009F095C" w:rsidP="009F095C">
            <w:pPr>
              <w:pStyle w:val="NormalWeb"/>
              <w:spacing w:before="0" w:beforeAutospacing="0" w:after="0" w:afterAutospacing="0"/>
              <w:jc w:val="both"/>
              <w:rPr>
                <w:rFonts w:asciiTheme="minorHAnsi" w:hAnsiTheme="minorHAnsi" w:cstheme="minorHAnsi"/>
                <w:b/>
              </w:rPr>
            </w:pPr>
          </w:p>
          <w:p w14:paraId="75DAE6B5" w14:textId="77777777" w:rsidR="008622E5" w:rsidRPr="00AB5D5C" w:rsidRDefault="008622E5" w:rsidP="008622E5">
            <w:pPr>
              <w:jc w:val="both"/>
              <w:rPr>
                <w:rFonts w:asciiTheme="majorHAnsi" w:hAnsiTheme="majorHAnsi" w:cstheme="majorHAnsi"/>
                <w:b/>
                <w:bCs/>
              </w:rPr>
            </w:pPr>
            <w:r w:rsidRPr="00AB5D5C">
              <w:rPr>
                <w:rFonts w:asciiTheme="majorHAnsi" w:hAnsiTheme="majorHAnsi" w:cstheme="majorHAnsi"/>
                <w:b/>
                <w:bCs/>
              </w:rPr>
              <w:t>CJEU Case C-156/21: Hungary v European Parliament and Council of the European Union</w:t>
            </w:r>
          </w:p>
          <w:p w14:paraId="69D1A783" w14:textId="77777777" w:rsidR="008622E5" w:rsidRPr="00AB5D5C" w:rsidRDefault="008622E5" w:rsidP="008622E5">
            <w:pPr>
              <w:jc w:val="both"/>
              <w:rPr>
                <w:rFonts w:asciiTheme="majorHAnsi" w:hAnsiTheme="majorHAnsi" w:cstheme="majorHAnsi"/>
                <w:bCs/>
                <w:i/>
              </w:rPr>
            </w:pPr>
            <w:r w:rsidRPr="00AB5D5C">
              <w:rPr>
                <w:rFonts w:asciiTheme="majorHAnsi" w:hAnsiTheme="majorHAnsi" w:cstheme="majorHAnsi"/>
                <w:bCs/>
                <w:i/>
              </w:rPr>
              <w:t>Key words:  Action for annulment – Regulation (EU, Euratom) 2020/2092 – General regime of conditionality for the protection of the European Union budget – Protection of the Union budget in the case of breaches of the principles of the rule of law in the Member States – Legal basis – Article 322(1)(a) TFEU – Alleged circumvention of Article 7 TEU and Article 269 TFEU – Alleged infringements of Article 4(1), Article 5(2) and Article 13(2) TEU and of the principles of legal certainty, proportionality and equality of Member States before the Treaties.</w:t>
            </w:r>
          </w:p>
          <w:p w14:paraId="2B142CE0" w14:textId="77777777" w:rsidR="008622E5" w:rsidRPr="00AB5D5C" w:rsidRDefault="008622E5" w:rsidP="008622E5">
            <w:pPr>
              <w:jc w:val="both"/>
              <w:rPr>
                <w:rFonts w:asciiTheme="majorHAnsi" w:hAnsiTheme="majorHAnsi" w:cstheme="majorHAnsi"/>
                <w:b/>
                <w:bCs/>
              </w:rPr>
            </w:pPr>
          </w:p>
          <w:p w14:paraId="400A5083" w14:textId="77777777" w:rsidR="008622E5" w:rsidRPr="00AB5D5C" w:rsidRDefault="008622E5" w:rsidP="008622E5">
            <w:pPr>
              <w:jc w:val="both"/>
              <w:rPr>
                <w:rFonts w:asciiTheme="majorHAnsi" w:hAnsiTheme="majorHAnsi" w:cstheme="majorHAnsi"/>
                <w:b/>
                <w:bCs/>
              </w:rPr>
            </w:pPr>
            <w:r w:rsidRPr="00AB5D5C">
              <w:rPr>
                <w:rFonts w:asciiTheme="majorHAnsi" w:hAnsiTheme="majorHAnsi" w:cstheme="majorHAnsi"/>
                <w:b/>
                <w:bCs/>
              </w:rPr>
              <w:t>CJEU Case C-157/21: Republic of Poland v European Parliament and Council of the European Union</w:t>
            </w:r>
          </w:p>
          <w:p w14:paraId="66BF81D6" w14:textId="77777777" w:rsidR="008622E5" w:rsidRPr="00AB5D5C" w:rsidRDefault="008622E5" w:rsidP="008622E5">
            <w:pPr>
              <w:jc w:val="both"/>
              <w:rPr>
                <w:rFonts w:asciiTheme="majorHAnsi" w:hAnsiTheme="majorHAnsi" w:cstheme="majorHAnsi"/>
                <w:i/>
                <w:iCs/>
                <w:lang w:val="en-US"/>
              </w:rPr>
            </w:pPr>
            <w:r w:rsidRPr="00AB5D5C">
              <w:rPr>
                <w:rFonts w:asciiTheme="majorHAnsi" w:hAnsiTheme="majorHAnsi" w:cstheme="majorHAnsi"/>
                <w:i/>
                <w:iCs/>
                <w:lang w:val="en-US"/>
              </w:rPr>
              <w:t xml:space="preserve">Key words:  Action for annulment – Regulation (EU, Euratom) 2020/2092 – General regime of conditionality for the protection of the European Union budget – Protection of the Union budget in the case of breaches of the principles of the rule of law in the Member States – Legal basis – Article 322(1)(a) TFEU – Article 311 TFEU – Article 312 TFEU – Alleged circumvention of Article 7 TEU and Article 269 TFEU – Alleged </w:t>
            </w:r>
            <w:r w:rsidRPr="00AB5D5C">
              <w:rPr>
                <w:rFonts w:asciiTheme="majorHAnsi" w:hAnsiTheme="majorHAnsi" w:cstheme="majorHAnsi"/>
                <w:i/>
                <w:iCs/>
                <w:lang w:val="en-US"/>
              </w:rPr>
              <w:lastRenderedPageBreak/>
              <w:t>infringements of Article 4(1), Article 5(2) and Article 13(2) TEU, of the second paragraph of Article 296 TFEU, of Protocol (No 2) on the application of the principles of subsidiarity and proportionality and of the principles of conferral, legal certainty, proportionality and equality of the Member States before the Treaties – Alleged misuse of powers.</w:t>
            </w:r>
          </w:p>
          <w:p w14:paraId="5BE4DD2F" w14:textId="77777777" w:rsidR="008622E5" w:rsidRPr="00AB5D5C" w:rsidRDefault="008622E5" w:rsidP="008622E5">
            <w:pPr>
              <w:jc w:val="both"/>
              <w:rPr>
                <w:rFonts w:asciiTheme="majorHAnsi" w:hAnsiTheme="majorHAnsi" w:cstheme="majorHAnsi"/>
                <w:i/>
                <w:iCs/>
                <w:lang w:val="en-US"/>
              </w:rPr>
            </w:pPr>
          </w:p>
          <w:p w14:paraId="76064A3C" w14:textId="77777777" w:rsidR="008622E5" w:rsidRPr="00AB5D5C" w:rsidRDefault="008622E5" w:rsidP="008622E5">
            <w:pPr>
              <w:jc w:val="both"/>
              <w:rPr>
                <w:rFonts w:asciiTheme="majorHAnsi" w:hAnsiTheme="majorHAnsi" w:cstheme="majorHAnsi"/>
                <w:b/>
                <w:iCs/>
                <w:lang w:val="en-US"/>
              </w:rPr>
            </w:pPr>
            <w:r w:rsidRPr="00AB5D5C">
              <w:rPr>
                <w:rFonts w:asciiTheme="majorHAnsi" w:hAnsiTheme="majorHAnsi" w:cstheme="majorHAnsi"/>
                <w:b/>
                <w:iCs/>
                <w:lang w:val="en-US"/>
              </w:rPr>
              <w:t>CJEU Case C-718/18: European Commission v Federal Republic of Germany</w:t>
            </w:r>
          </w:p>
          <w:p w14:paraId="6A5ACACB" w14:textId="77777777" w:rsidR="008622E5" w:rsidRPr="00AB5D5C" w:rsidRDefault="008622E5" w:rsidP="008622E5">
            <w:pPr>
              <w:jc w:val="both"/>
              <w:rPr>
                <w:rFonts w:asciiTheme="majorHAnsi" w:hAnsiTheme="majorHAnsi" w:cstheme="majorHAnsi"/>
                <w:b/>
                <w:iCs/>
                <w:lang w:val="en-US"/>
              </w:rPr>
            </w:pPr>
            <w:r w:rsidRPr="00AB5D5C">
              <w:rPr>
                <w:rFonts w:asciiTheme="majorHAnsi" w:hAnsiTheme="majorHAnsi" w:cstheme="majorHAnsi"/>
                <w:i/>
                <w:iCs/>
                <w:lang w:val="en-US"/>
              </w:rPr>
              <w:t>Key words:  Failure of a Member State to fulfil obligations – Internal markets for electricity and natural gas – Directive 2009/72/EC – Article 2(21) – Article 19(3), (5) and (8) – Article 37(1)(a) and (6)(a) and (b) – Directive 2009/73/EC – Article 2(20) – Article 19(3), (5) and (8) – Article 41(1)(a) and (6)(a) and (b) – Concept of a ‘vertically integrated undertaking’ – Effective unbundling of networks from the activities of production and supply of electricity and natural gas – Independent transmission operator – Independence of the staff and the management of the transmission system operator – Transitional periods – Shares held in the capital of the vertically integrated undertaking – National regulatory authorities – Independence – Exclusive powers – Article 45 TFEU – Freedom of movement for workers – Charter of Fundamental Rights of the European Union – Article 15 – Right to engage in work and to pursue an occupation – Article 17 – Right to property – Article 52(1) – Restrictions – Principle of democracy.</w:t>
            </w:r>
          </w:p>
          <w:p w14:paraId="3822B646" w14:textId="77777777" w:rsidR="008622E5" w:rsidRPr="00AB5D5C" w:rsidRDefault="008622E5" w:rsidP="008622E5">
            <w:pPr>
              <w:jc w:val="both"/>
              <w:rPr>
                <w:rFonts w:asciiTheme="majorHAnsi" w:hAnsiTheme="majorHAnsi" w:cstheme="majorHAnsi"/>
                <w:i/>
                <w:iCs/>
                <w:lang w:val="en-US"/>
              </w:rPr>
            </w:pPr>
          </w:p>
          <w:p w14:paraId="26B75DD1" w14:textId="77777777" w:rsidR="008622E5" w:rsidRPr="00AB5D5C" w:rsidRDefault="008622E5" w:rsidP="008622E5">
            <w:pPr>
              <w:jc w:val="both"/>
              <w:rPr>
                <w:rFonts w:asciiTheme="majorHAnsi" w:hAnsiTheme="majorHAnsi" w:cstheme="majorHAnsi"/>
                <w:b/>
                <w:iCs/>
                <w:lang w:val="en-US"/>
              </w:rPr>
            </w:pPr>
            <w:r w:rsidRPr="00AB5D5C">
              <w:rPr>
                <w:rFonts w:asciiTheme="majorHAnsi" w:hAnsiTheme="majorHAnsi" w:cstheme="majorHAnsi"/>
                <w:b/>
                <w:iCs/>
                <w:lang w:val="en-US"/>
              </w:rPr>
              <w:t>CJEU Case C-166/20:  BB v Lietuvos Respublikos sveikatos apsaugos ministerija</w:t>
            </w:r>
          </w:p>
          <w:p w14:paraId="6396F237" w14:textId="77777777" w:rsidR="008622E5" w:rsidRPr="00AB5D5C" w:rsidRDefault="008622E5" w:rsidP="008622E5">
            <w:pPr>
              <w:jc w:val="both"/>
              <w:rPr>
                <w:rFonts w:asciiTheme="majorHAnsi" w:hAnsiTheme="majorHAnsi" w:cstheme="majorHAnsi"/>
                <w:i/>
                <w:iCs/>
                <w:lang w:val="en-US"/>
              </w:rPr>
            </w:pPr>
            <w:r w:rsidRPr="00AB5D5C">
              <w:rPr>
                <w:rFonts w:asciiTheme="majorHAnsi" w:hAnsiTheme="majorHAnsi" w:cstheme="majorHAnsi"/>
                <w:i/>
                <w:iCs/>
                <w:lang w:val="en-US"/>
              </w:rPr>
              <w:t>Key words:  Reference for a preliminary ruling — Recognition of professional qualifications — Directive 2005/36/EC — Article 1 and Article 10(b) — Professional qualifications obtained in several Member States — Requirements for obtaining — No formal evidence of qualifications — Articles 45 and 49 TFEU — Workers — Freedom of establishment.</w:t>
            </w:r>
          </w:p>
          <w:p w14:paraId="30D71946" w14:textId="77777777" w:rsidR="008622E5" w:rsidRPr="00AB5D5C" w:rsidRDefault="008622E5" w:rsidP="008622E5">
            <w:pPr>
              <w:jc w:val="both"/>
              <w:rPr>
                <w:rFonts w:asciiTheme="majorHAnsi" w:hAnsiTheme="majorHAnsi" w:cstheme="majorHAnsi"/>
                <w:i/>
                <w:iCs/>
                <w:lang w:val="en-US"/>
              </w:rPr>
            </w:pPr>
          </w:p>
          <w:p w14:paraId="46F15E7B" w14:textId="77777777" w:rsidR="008622E5" w:rsidRPr="00AB5D5C" w:rsidRDefault="008622E5" w:rsidP="008622E5">
            <w:pPr>
              <w:jc w:val="both"/>
              <w:rPr>
                <w:rFonts w:asciiTheme="majorHAnsi" w:hAnsiTheme="majorHAnsi" w:cstheme="majorHAnsi"/>
                <w:b/>
                <w:iCs/>
                <w:lang w:val="en-US"/>
              </w:rPr>
            </w:pPr>
            <w:r w:rsidRPr="00AB5D5C">
              <w:rPr>
                <w:rFonts w:asciiTheme="majorHAnsi" w:hAnsiTheme="majorHAnsi" w:cstheme="majorHAnsi"/>
                <w:b/>
                <w:iCs/>
                <w:lang w:val="en-US"/>
              </w:rPr>
              <w:t>CJEU Case C-51119: AB v Olympiako Athlitiko Kentro Athinon – Spyros Louis</w:t>
            </w:r>
          </w:p>
          <w:p w14:paraId="34C27C89" w14:textId="77777777" w:rsidR="008622E5" w:rsidRPr="00AB5D5C" w:rsidRDefault="008622E5" w:rsidP="008622E5">
            <w:pPr>
              <w:jc w:val="both"/>
              <w:rPr>
                <w:rFonts w:asciiTheme="majorHAnsi" w:hAnsiTheme="majorHAnsi" w:cstheme="majorHAnsi"/>
                <w:i/>
                <w:iCs/>
                <w:lang w:val="en-US"/>
              </w:rPr>
            </w:pPr>
            <w:r w:rsidRPr="00AB5D5C">
              <w:rPr>
                <w:rFonts w:asciiTheme="majorHAnsi" w:hAnsiTheme="majorHAnsi" w:cstheme="majorHAnsi"/>
                <w:i/>
                <w:iCs/>
                <w:lang w:val="en-US"/>
              </w:rPr>
              <w:t>Key words: Reference for a preliminary ruling – Social policy – Directive 2000/78/EC – Principle of equal treatment in employment and occupation – Prohibition of discrimination on grounds of age – Workers placed under a labour reserve system until termination of their contract of employment – Wage reduction and reduction or loss of severance pay – System applicable to public-sector workers close to full-time retirement – Reduction of public-sector wage costs – Article 6(1) – Legitimate social policy objective – Economic crisis.</w:t>
            </w:r>
          </w:p>
          <w:p w14:paraId="0D82AA23" w14:textId="77777777" w:rsidR="008622E5" w:rsidRPr="00AB5D5C" w:rsidRDefault="008622E5" w:rsidP="008622E5">
            <w:pPr>
              <w:jc w:val="both"/>
              <w:rPr>
                <w:rFonts w:asciiTheme="majorHAnsi" w:hAnsiTheme="majorHAnsi" w:cstheme="majorHAnsi"/>
                <w:i/>
                <w:iCs/>
                <w:lang w:val="en-US"/>
              </w:rPr>
            </w:pPr>
          </w:p>
          <w:p w14:paraId="68C5C62C" w14:textId="77777777" w:rsidR="008622E5" w:rsidRPr="00AB5D5C" w:rsidRDefault="008622E5" w:rsidP="008622E5">
            <w:pPr>
              <w:jc w:val="both"/>
              <w:rPr>
                <w:rFonts w:asciiTheme="majorHAnsi" w:hAnsiTheme="majorHAnsi" w:cstheme="majorHAnsi"/>
                <w:b/>
                <w:iCs/>
                <w:lang w:val="it-IT"/>
              </w:rPr>
            </w:pPr>
            <w:r w:rsidRPr="00AB5D5C">
              <w:rPr>
                <w:rFonts w:asciiTheme="majorHAnsi" w:hAnsiTheme="majorHAnsi" w:cstheme="majorHAnsi"/>
                <w:b/>
                <w:iCs/>
                <w:lang w:val="it-IT"/>
              </w:rPr>
              <w:t>CJEU Case C-670/18: CO v Comune di Gesturi</w:t>
            </w:r>
          </w:p>
          <w:p w14:paraId="06506E70" w14:textId="77777777" w:rsidR="008622E5" w:rsidRPr="00AB5D5C" w:rsidRDefault="008622E5" w:rsidP="008622E5">
            <w:pPr>
              <w:jc w:val="both"/>
              <w:rPr>
                <w:rFonts w:asciiTheme="majorHAnsi" w:hAnsiTheme="majorHAnsi" w:cstheme="majorHAnsi"/>
                <w:i/>
                <w:iCs/>
                <w:lang w:val="en-US"/>
              </w:rPr>
            </w:pPr>
            <w:r w:rsidRPr="00AB5D5C">
              <w:rPr>
                <w:rFonts w:asciiTheme="majorHAnsi" w:hAnsiTheme="majorHAnsi" w:cstheme="majorHAnsi"/>
                <w:i/>
                <w:iCs/>
                <w:lang w:val="en-US"/>
              </w:rPr>
              <w:t>Key words: Reference for a preliminary ruling — Social policy — Principle of equal treatment in employment and occupation — Directive 2000/78/EC — Prohibition of all discrimination on grounds of age — Public call for expressions of interest — Conditions of participation — Exclusion of retired public-sector and private-sector employees.</w:t>
            </w:r>
          </w:p>
          <w:p w14:paraId="56A97A1B" w14:textId="77777777" w:rsidR="008622E5" w:rsidRPr="00AB5D5C" w:rsidRDefault="008622E5" w:rsidP="008622E5">
            <w:pPr>
              <w:jc w:val="both"/>
              <w:rPr>
                <w:rFonts w:asciiTheme="majorHAnsi" w:hAnsiTheme="majorHAnsi" w:cstheme="majorHAnsi"/>
                <w:i/>
                <w:iCs/>
                <w:lang w:val="en-US"/>
              </w:rPr>
            </w:pPr>
          </w:p>
          <w:p w14:paraId="3EBE3939" w14:textId="77777777" w:rsidR="008622E5" w:rsidRPr="00AB5D5C" w:rsidRDefault="008622E5" w:rsidP="008622E5">
            <w:pPr>
              <w:jc w:val="both"/>
              <w:rPr>
                <w:rFonts w:asciiTheme="majorHAnsi" w:hAnsiTheme="majorHAnsi" w:cstheme="majorHAnsi"/>
                <w:b/>
                <w:iCs/>
                <w:lang w:val="it-IT"/>
              </w:rPr>
            </w:pPr>
            <w:r w:rsidRPr="00AB5D5C">
              <w:rPr>
                <w:rFonts w:asciiTheme="majorHAnsi" w:hAnsiTheme="majorHAnsi" w:cstheme="majorHAnsi"/>
                <w:b/>
                <w:iCs/>
                <w:lang w:val="it-IT"/>
              </w:rPr>
              <w:t>CJEU Case C-507/18: NH v Associazione Avvocatura per i diritti LGBTI - Rete Lenford</w:t>
            </w:r>
          </w:p>
          <w:p w14:paraId="22A60A43" w14:textId="77777777" w:rsidR="008622E5" w:rsidRPr="00AB5D5C" w:rsidRDefault="008622E5" w:rsidP="008622E5">
            <w:pPr>
              <w:jc w:val="both"/>
              <w:rPr>
                <w:rFonts w:asciiTheme="majorHAnsi" w:hAnsiTheme="majorHAnsi" w:cstheme="majorHAnsi"/>
                <w:i/>
                <w:iCs/>
                <w:lang w:val="en-US"/>
              </w:rPr>
            </w:pPr>
            <w:r w:rsidRPr="00AB5D5C">
              <w:rPr>
                <w:rFonts w:asciiTheme="majorHAnsi" w:hAnsiTheme="majorHAnsi" w:cstheme="majorHAnsi"/>
                <w:i/>
                <w:iCs/>
                <w:lang w:val="en-US"/>
              </w:rPr>
              <w:t xml:space="preserve">Key words: Reference for a preliminary ruling — Equal treatment in employment and occupation — Directive 2000/78/EC — Article 3(1)(a), Article 8(1) and Article 9(2) — Prohibition of discrimination based on sexual orientation — Conditions for access to employment or to occupation — Concept — Public statements ruling out recruitment of homosexual persons — Article 11(1), Article 15(1) and Article 21(1) of the Charter of Fundamental Rights of the European Union — Defence of rights — Sanctions — Legal entity representing a collective interest — Standing to bring proceedings without acting </w:t>
            </w:r>
            <w:r w:rsidRPr="00AB5D5C">
              <w:rPr>
                <w:rFonts w:asciiTheme="majorHAnsi" w:hAnsiTheme="majorHAnsi" w:cstheme="majorHAnsi"/>
                <w:i/>
                <w:iCs/>
                <w:lang w:val="en-US"/>
              </w:rPr>
              <w:lastRenderedPageBreak/>
              <w:t>in the name of a specific complainant or in the absence of an injured party — Right to damages</w:t>
            </w:r>
          </w:p>
          <w:p w14:paraId="56E47BEA" w14:textId="77777777" w:rsidR="008622E5" w:rsidRPr="00AB5D5C" w:rsidRDefault="008622E5" w:rsidP="008622E5">
            <w:pPr>
              <w:jc w:val="both"/>
              <w:rPr>
                <w:rFonts w:asciiTheme="majorHAnsi" w:hAnsiTheme="majorHAnsi" w:cstheme="majorHAnsi"/>
                <w:b/>
                <w:iCs/>
                <w:lang w:val="en-US"/>
              </w:rPr>
            </w:pPr>
          </w:p>
          <w:p w14:paraId="1672961A" w14:textId="77777777" w:rsidR="008622E5" w:rsidRPr="00AB5D5C" w:rsidRDefault="008622E5" w:rsidP="008622E5">
            <w:pPr>
              <w:jc w:val="both"/>
              <w:rPr>
                <w:rFonts w:asciiTheme="majorHAnsi" w:hAnsiTheme="majorHAnsi" w:cstheme="majorHAnsi"/>
                <w:b/>
                <w:iCs/>
                <w:lang w:val="it-IT"/>
              </w:rPr>
            </w:pPr>
            <w:r w:rsidRPr="00AB5D5C">
              <w:rPr>
                <w:rFonts w:asciiTheme="majorHAnsi" w:hAnsiTheme="majorHAnsi" w:cstheme="majorHAnsi"/>
                <w:b/>
                <w:iCs/>
                <w:lang w:val="it-IT"/>
              </w:rPr>
              <w:t>CJEU Case C-322/16: Global Starnet Ltd v Ministero dell'Economia e delle Finanze and Amministrazione Autonoma Monopoli di Stato</w:t>
            </w:r>
          </w:p>
          <w:p w14:paraId="0E1279E4" w14:textId="44F531F8" w:rsidR="008622E5" w:rsidRDefault="008622E5" w:rsidP="008622E5">
            <w:pPr>
              <w:pStyle w:val="NormalWeb"/>
              <w:spacing w:before="0" w:beforeAutospacing="0" w:after="0" w:afterAutospacing="0"/>
              <w:jc w:val="both"/>
              <w:rPr>
                <w:rFonts w:asciiTheme="minorHAnsi" w:hAnsiTheme="minorHAnsi" w:cstheme="minorHAnsi"/>
                <w:b/>
              </w:rPr>
            </w:pPr>
            <w:r w:rsidRPr="00AB5D5C">
              <w:rPr>
                <w:rFonts w:asciiTheme="majorHAnsi" w:hAnsiTheme="majorHAnsi" w:cstheme="majorHAnsi"/>
                <w:i/>
                <w:iCs/>
                <w:lang w:val="en-US"/>
              </w:rPr>
              <w:t>Key words: Reference for a preliminary ruling — Freedom to provide services, freedom of establishment, free movement of capital and freedom to conduct a business — Restrictions — Award of new licences for the online operation of gaming — Principles of legal certainty and protection of legitimate expectations — Judgment of the Constitutional Court — Whether or not the national court is obliged to refer a question to the Court of Justice for a preliminary ruling.</w:t>
            </w:r>
          </w:p>
          <w:p w14:paraId="5C7CACBA" w14:textId="1D811ED0" w:rsidR="00CD3B67" w:rsidRPr="00CD3B67" w:rsidRDefault="00CD3B67" w:rsidP="007F47B5">
            <w:pPr>
              <w:pStyle w:val="NormalWeb"/>
              <w:spacing w:before="0" w:beforeAutospacing="0" w:after="0" w:afterAutospacing="0"/>
              <w:jc w:val="both"/>
              <w:rPr>
                <w:rFonts w:asciiTheme="minorHAnsi" w:hAnsiTheme="minorHAnsi" w:cstheme="minorHAnsi"/>
              </w:rPr>
            </w:pPr>
          </w:p>
        </w:tc>
      </w:tr>
      <w:tr w:rsidR="00CA5340" w:rsidRPr="008E2D64" w14:paraId="4058ADFD" w14:textId="77777777" w:rsidTr="00541A2A">
        <w:tc>
          <w:tcPr>
            <w:tcW w:w="8494" w:type="dxa"/>
          </w:tcPr>
          <w:p w14:paraId="7A523F70" w14:textId="77777777" w:rsidR="00CA5340" w:rsidRPr="009F095C" w:rsidRDefault="00CA5340" w:rsidP="00541A2A">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CA5340" w:rsidRPr="008E2D64" w14:paraId="152D4BB4" w14:textId="77777777" w:rsidTr="00541A2A">
        <w:tc>
          <w:tcPr>
            <w:tcW w:w="8494" w:type="dxa"/>
          </w:tcPr>
          <w:p w14:paraId="5C72B146" w14:textId="77777777" w:rsidR="006D49A7" w:rsidRPr="006D49A7" w:rsidRDefault="006D49A7" w:rsidP="006D49A7">
            <w:pPr>
              <w:jc w:val="both"/>
              <w:rPr>
                <w:rFonts w:asciiTheme="majorHAnsi" w:eastAsia="Times New Roman" w:hAnsiTheme="majorHAnsi" w:cstheme="majorHAnsi"/>
                <w:kern w:val="0"/>
                <w:lang w:val="en-GB" w:eastAsia="es-ES_tradnl"/>
                <w14:ligatures w14:val="none"/>
              </w:rPr>
            </w:pPr>
          </w:p>
          <w:p w14:paraId="01114BF6" w14:textId="77777777" w:rsidR="008622E5" w:rsidRPr="002D180B" w:rsidRDefault="008622E5" w:rsidP="008622E5">
            <w:pPr>
              <w:jc w:val="both"/>
              <w:rPr>
                <w:rFonts w:asciiTheme="majorHAnsi" w:hAnsiTheme="majorHAnsi" w:cstheme="majorHAnsi"/>
                <w:b/>
                <w:bCs/>
                <w:iCs/>
                <w:lang w:val="en-GB"/>
              </w:rPr>
            </w:pPr>
            <w:r w:rsidRPr="002D180B">
              <w:rPr>
                <w:rFonts w:asciiTheme="majorHAnsi" w:hAnsiTheme="majorHAnsi" w:cstheme="majorHAnsi"/>
                <w:b/>
                <w:bCs/>
                <w:iCs/>
                <w:lang w:val="en-GB"/>
              </w:rPr>
              <w:t>Understanding the Right to Work in Legal Practice</w:t>
            </w:r>
          </w:p>
          <w:p w14:paraId="0F9BDA30" w14:textId="77777777" w:rsidR="008622E5" w:rsidRPr="002D180B" w:rsidRDefault="008622E5" w:rsidP="008622E5">
            <w:pPr>
              <w:numPr>
                <w:ilvl w:val="0"/>
                <w:numId w:val="21"/>
              </w:numPr>
              <w:jc w:val="both"/>
              <w:rPr>
                <w:rFonts w:asciiTheme="majorHAnsi" w:hAnsiTheme="majorHAnsi" w:cstheme="majorHAnsi"/>
                <w:iCs/>
                <w:lang w:val="en-GB"/>
              </w:rPr>
            </w:pPr>
            <w:r w:rsidRPr="002D180B">
              <w:rPr>
                <w:rFonts w:asciiTheme="majorHAnsi" w:hAnsiTheme="majorHAnsi" w:cstheme="majorHAnsi"/>
                <w:b/>
                <w:bCs/>
                <w:iCs/>
                <w:lang w:val="en-GB"/>
              </w:rPr>
              <w:t>Not all employment qualifies as "work" under Article 15.</w:t>
            </w:r>
          </w:p>
          <w:p w14:paraId="690E114B" w14:textId="77777777" w:rsidR="008622E5" w:rsidRPr="002D180B"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The right to work does </w:t>
            </w:r>
            <w:r w:rsidRPr="002D180B">
              <w:rPr>
                <w:rFonts w:asciiTheme="majorHAnsi" w:hAnsiTheme="majorHAnsi" w:cstheme="majorHAnsi"/>
                <w:b/>
                <w:bCs/>
                <w:iCs/>
                <w:lang w:val="en-GB"/>
              </w:rPr>
              <w:t>not</w:t>
            </w:r>
            <w:r w:rsidRPr="002D180B">
              <w:rPr>
                <w:rFonts w:asciiTheme="majorHAnsi" w:hAnsiTheme="majorHAnsi" w:cstheme="majorHAnsi"/>
                <w:iCs/>
                <w:lang w:val="en-GB"/>
              </w:rPr>
              <w:t xml:space="preserve"> extend to exploitative labor arrangements.</w:t>
            </w:r>
          </w:p>
          <w:p w14:paraId="5BBA55E1" w14:textId="77777777" w:rsidR="008622E5" w:rsidRPr="002D180B"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b/>
                <w:bCs/>
                <w:iCs/>
                <w:lang w:val="en-GB"/>
              </w:rPr>
              <w:t>Distinction between "work" and "labor":</w:t>
            </w:r>
            <w:r w:rsidRPr="002D180B">
              <w:rPr>
                <w:rFonts w:asciiTheme="majorHAnsi" w:hAnsiTheme="majorHAnsi" w:cstheme="majorHAnsi"/>
                <w:iCs/>
                <w:lang w:val="en-GB"/>
              </w:rPr>
              <w:t xml:space="preserve"> Certain forms of employment—such as forced labor, undeclared work, or severely exploitative conditions—can violate the </w:t>
            </w:r>
            <w:r w:rsidRPr="002D180B">
              <w:rPr>
                <w:rFonts w:asciiTheme="majorHAnsi" w:hAnsiTheme="majorHAnsi" w:cstheme="majorHAnsi"/>
                <w:b/>
                <w:bCs/>
                <w:iCs/>
                <w:lang w:val="en-GB"/>
              </w:rPr>
              <w:t>right to work</w:t>
            </w:r>
            <w:r w:rsidRPr="002D180B">
              <w:rPr>
                <w:rFonts w:asciiTheme="majorHAnsi" w:hAnsiTheme="majorHAnsi" w:cstheme="majorHAnsi"/>
                <w:iCs/>
                <w:lang w:val="en-GB"/>
              </w:rPr>
              <w:t xml:space="preserve"> rather than fulfill it.</w:t>
            </w:r>
          </w:p>
          <w:p w14:paraId="167D82FD" w14:textId="77777777" w:rsidR="008622E5"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Lawyers handling cases of </w:t>
            </w:r>
            <w:r w:rsidRPr="002D180B">
              <w:rPr>
                <w:rFonts w:asciiTheme="majorHAnsi" w:hAnsiTheme="majorHAnsi" w:cstheme="majorHAnsi"/>
                <w:b/>
                <w:bCs/>
                <w:iCs/>
                <w:lang w:val="en-GB"/>
              </w:rPr>
              <w:t>migrant workers, undocumented workers, or cases of unfair labor conditions</w:t>
            </w:r>
            <w:r w:rsidRPr="002D180B">
              <w:rPr>
                <w:rFonts w:asciiTheme="majorHAnsi" w:hAnsiTheme="majorHAnsi" w:cstheme="majorHAnsi"/>
                <w:iCs/>
                <w:lang w:val="en-GB"/>
              </w:rPr>
              <w:t xml:space="preserve"> should assess whether employment conditions align with </w:t>
            </w:r>
            <w:r w:rsidRPr="002D180B">
              <w:rPr>
                <w:rFonts w:asciiTheme="majorHAnsi" w:hAnsiTheme="majorHAnsi" w:cstheme="majorHAnsi"/>
                <w:b/>
                <w:bCs/>
                <w:iCs/>
                <w:lang w:val="en-GB"/>
              </w:rPr>
              <w:t>self-realization and non-exploitation</w:t>
            </w:r>
            <w:r w:rsidRPr="002D180B">
              <w:rPr>
                <w:rFonts w:asciiTheme="majorHAnsi" w:hAnsiTheme="majorHAnsi" w:cstheme="majorHAnsi"/>
                <w:iCs/>
                <w:lang w:val="en-GB"/>
              </w:rPr>
              <w:t xml:space="preserve"> principles.</w:t>
            </w:r>
          </w:p>
          <w:p w14:paraId="3EF1031D" w14:textId="77777777" w:rsidR="008622E5" w:rsidRPr="002D180B" w:rsidRDefault="008622E5" w:rsidP="008622E5">
            <w:pPr>
              <w:ind w:left="1440"/>
              <w:jc w:val="both"/>
              <w:rPr>
                <w:rFonts w:asciiTheme="majorHAnsi" w:hAnsiTheme="majorHAnsi" w:cstheme="majorHAnsi"/>
                <w:iCs/>
                <w:lang w:val="en-GB"/>
              </w:rPr>
            </w:pPr>
          </w:p>
          <w:p w14:paraId="6816ED1D" w14:textId="77777777" w:rsidR="008622E5" w:rsidRPr="002D180B" w:rsidRDefault="008622E5" w:rsidP="008622E5">
            <w:pPr>
              <w:numPr>
                <w:ilvl w:val="0"/>
                <w:numId w:val="21"/>
              </w:numPr>
              <w:jc w:val="both"/>
              <w:rPr>
                <w:rFonts w:asciiTheme="majorHAnsi" w:hAnsiTheme="majorHAnsi" w:cstheme="majorHAnsi"/>
                <w:iCs/>
                <w:lang w:val="en-GB"/>
              </w:rPr>
            </w:pPr>
            <w:r w:rsidRPr="002D180B">
              <w:rPr>
                <w:rFonts w:asciiTheme="majorHAnsi" w:hAnsiTheme="majorHAnsi" w:cstheme="majorHAnsi"/>
                <w:b/>
                <w:bCs/>
                <w:iCs/>
                <w:lang w:val="en-GB"/>
              </w:rPr>
              <w:t>Interplay with the European Social Charter:</w:t>
            </w:r>
          </w:p>
          <w:p w14:paraId="52935D22" w14:textId="77777777" w:rsidR="008622E5" w:rsidRPr="002D180B"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The </w:t>
            </w:r>
            <w:r w:rsidRPr="002D180B">
              <w:rPr>
                <w:rFonts w:asciiTheme="majorHAnsi" w:hAnsiTheme="majorHAnsi" w:cstheme="majorHAnsi"/>
                <w:b/>
                <w:bCs/>
                <w:iCs/>
                <w:lang w:val="en-GB"/>
              </w:rPr>
              <w:t>right to work</w:t>
            </w:r>
            <w:r w:rsidRPr="002D180B">
              <w:rPr>
                <w:rFonts w:asciiTheme="majorHAnsi" w:hAnsiTheme="majorHAnsi" w:cstheme="majorHAnsi"/>
                <w:iCs/>
                <w:lang w:val="en-GB"/>
              </w:rPr>
              <w:t xml:space="preserve"> in </w:t>
            </w:r>
            <w:r w:rsidRPr="002D180B">
              <w:rPr>
                <w:rFonts w:asciiTheme="majorHAnsi" w:hAnsiTheme="majorHAnsi" w:cstheme="majorHAnsi"/>
                <w:b/>
                <w:bCs/>
                <w:iCs/>
                <w:lang w:val="en-GB"/>
              </w:rPr>
              <w:t>Article 1 of the European Social Charter (ESC)</w:t>
            </w:r>
            <w:r w:rsidRPr="002D180B">
              <w:rPr>
                <w:rFonts w:asciiTheme="majorHAnsi" w:hAnsiTheme="majorHAnsi" w:cstheme="majorHAnsi"/>
                <w:iCs/>
                <w:lang w:val="en-GB"/>
              </w:rPr>
              <w:t xml:space="preserve"> is broader than Article 15 EChFR.</w:t>
            </w:r>
          </w:p>
          <w:p w14:paraId="7A68B4E5" w14:textId="77777777" w:rsidR="008622E5" w:rsidRPr="002D180B"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While </w:t>
            </w:r>
            <w:r w:rsidRPr="002D180B">
              <w:rPr>
                <w:rFonts w:asciiTheme="majorHAnsi" w:hAnsiTheme="majorHAnsi" w:cstheme="majorHAnsi"/>
                <w:b/>
                <w:bCs/>
                <w:iCs/>
                <w:lang w:val="en-GB"/>
              </w:rPr>
              <w:t>Article 15 EChFR</w:t>
            </w:r>
            <w:r w:rsidRPr="002D180B">
              <w:rPr>
                <w:rFonts w:asciiTheme="majorHAnsi" w:hAnsiTheme="majorHAnsi" w:cstheme="majorHAnsi"/>
                <w:iCs/>
                <w:lang w:val="en-GB"/>
              </w:rPr>
              <w:t xml:space="preserve"> protects access to employment within the EU framework, the </w:t>
            </w:r>
            <w:r w:rsidRPr="002D180B">
              <w:rPr>
                <w:rFonts w:asciiTheme="majorHAnsi" w:hAnsiTheme="majorHAnsi" w:cstheme="majorHAnsi"/>
                <w:b/>
                <w:bCs/>
                <w:iCs/>
                <w:lang w:val="en-GB"/>
              </w:rPr>
              <w:t>ESC</w:t>
            </w:r>
            <w:r w:rsidRPr="002D180B">
              <w:rPr>
                <w:rFonts w:asciiTheme="majorHAnsi" w:hAnsiTheme="majorHAnsi" w:cstheme="majorHAnsi"/>
                <w:iCs/>
                <w:lang w:val="en-GB"/>
              </w:rPr>
              <w:t xml:space="preserve"> provides stronger protection in areas such as fair wages, vocational guidance, and protection against unemployment.</w:t>
            </w:r>
          </w:p>
          <w:p w14:paraId="1DF0A357" w14:textId="77777777" w:rsidR="008622E5"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Lawyers should consider whether invoking </w:t>
            </w:r>
            <w:r w:rsidRPr="002D180B">
              <w:rPr>
                <w:rFonts w:asciiTheme="majorHAnsi" w:hAnsiTheme="majorHAnsi" w:cstheme="majorHAnsi"/>
                <w:b/>
                <w:bCs/>
                <w:iCs/>
                <w:lang w:val="en-GB"/>
              </w:rPr>
              <w:t>both Charters in combination</w:t>
            </w:r>
            <w:r w:rsidRPr="002D180B">
              <w:rPr>
                <w:rFonts w:asciiTheme="majorHAnsi" w:hAnsiTheme="majorHAnsi" w:cstheme="majorHAnsi"/>
                <w:iCs/>
                <w:lang w:val="en-GB"/>
              </w:rPr>
              <w:t xml:space="preserve"> strengthens their legal arguments.</w:t>
            </w:r>
          </w:p>
          <w:p w14:paraId="16F365A2" w14:textId="77777777" w:rsidR="008622E5" w:rsidRPr="002D180B" w:rsidRDefault="008622E5" w:rsidP="008622E5">
            <w:pPr>
              <w:ind w:left="1440"/>
              <w:jc w:val="both"/>
              <w:rPr>
                <w:rFonts w:asciiTheme="majorHAnsi" w:hAnsiTheme="majorHAnsi" w:cstheme="majorHAnsi"/>
                <w:iCs/>
                <w:lang w:val="en-GB"/>
              </w:rPr>
            </w:pPr>
          </w:p>
          <w:p w14:paraId="33B6F4AF" w14:textId="77777777" w:rsidR="008622E5" w:rsidRPr="002D180B" w:rsidRDefault="008622E5" w:rsidP="008622E5">
            <w:pPr>
              <w:numPr>
                <w:ilvl w:val="0"/>
                <w:numId w:val="21"/>
              </w:numPr>
              <w:jc w:val="both"/>
              <w:rPr>
                <w:rFonts w:asciiTheme="majorHAnsi" w:hAnsiTheme="majorHAnsi" w:cstheme="majorHAnsi"/>
                <w:iCs/>
                <w:lang w:val="en-GB"/>
              </w:rPr>
            </w:pPr>
            <w:r w:rsidRPr="002D180B">
              <w:rPr>
                <w:rFonts w:asciiTheme="majorHAnsi" w:hAnsiTheme="majorHAnsi" w:cstheme="majorHAnsi"/>
                <w:b/>
                <w:bCs/>
                <w:iCs/>
                <w:lang w:val="en-GB"/>
              </w:rPr>
              <w:t>Intersection with the Four Freedoms of the EU:</w:t>
            </w:r>
          </w:p>
          <w:p w14:paraId="69440E28" w14:textId="77777777" w:rsidR="008622E5" w:rsidRDefault="008622E5" w:rsidP="008622E5">
            <w:pPr>
              <w:numPr>
                <w:ilvl w:val="1"/>
                <w:numId w:val="21"/>
              </w:numPr>
              <w:jc w:val="both"/>
              <w:rPr>
                <w:rFonts w:asciiTheme="majorHAnsi" w:hAnsiTheme="majorHAnsi" w:cstheme="majorHAnsi"/>
                <w:iCs/>
                <w:lang w:val="en-GB"/>
              </w:rPr>
            </w:pPr>
            <w:r w:rsidRPr="002D180B">
              <w:rPr>
                <w:rFonts w:asciiTheme="majorHAnsi" w:hAnsiTheme="majorHAnsi" w:cstheme="majorHAnsi"/>
                <w:iCs/>
                <w:lang w:val="en-GB"/>
              </w:rPr>
              <w:t xml:space="preserve">The right to work is </w:t>
            </w:r>
            <w:r w:rsidRPr="002D180B">
              <w:rPr>
                <w:rFonts w:asciiTheme="majorHAnsi" w:hAnsiTheme="majorHAnsi" w:cstheme="majorHAnsi"/>
                <w:b/>
                <w:bCs/>
                <w:iCs/>
                <w:lang w:val="en-GB"/>
              </w:rPr>
              <w:t>closely linked to the free movement of workers</w:t>
            </w:r>
            <w:r w:rsidRPr="002D180B">
              <w:rPr>
                <w:rFonts w:asciiTheme="majorHAnsi" w:hAnsiTheme="majorHAnsi" w:cstheme="majorHAnsi"/>
                <w:iCs/>
                <w:lang w:val="en-GB"/>
              </w:rPr>
              <w:t xml:space="preserve"> (Article 45 TFEU).</w:t>
            </w:r>
          </w:p>
          <w:p w14:paraId="538D83DE" w14:textId="5E7929C3" w:rsidR="006D49A7" w:rsidRPr="008622E5" w:rsidRDefault="008622E5" w:rsidP="008622E5">
            <w:pPr>
              <w:numPr>
                <w:ilvl w:val="1"/>
                <w:numId w:val="21"/>
              </w:numPr>
              <w:jc w:val="both"/>
              <w:rPr>
                <w:rFonts w:asciiTheme="majorHAnsi" w:hAnsiTheme="majorHAnsi" w:cstheme="majorHAnsi"/>
                <w:iCs/>
                <w:lang w:val="en-GB"/>
              </w:rPr>
            </w:pPr>
            <w:r w:rsidRPr="008622E5">
              <w:rPr>
                <w:rFonts w:asciiTheme="majorHAnsi" w:hAnsiTheme="majorHAnsi" w:cstheme="majorHAnsi"/>
                <w:b/>
                <w:bCs/>
                <w:iCs/>
                <w:lang w:val="en-GB"/>
              </w:rPr>
              <w:t>Cross-border employment issues, work permits for third-country nationals, and access to social benefits</w:t>
            </w:r>
            <w:r w:rsidRPr="008622E5">
              <w:rPr>
                <w:rFonts w:asciiTheme="majorHAnsi" w:hAnsiTheme="majorHAnsi" w:cstheme="majorHAnsi"/>
                <w:iCs/>
                <w:lang w:val="en-GB"/>
              </w:rPr>
              <w:t xml:space="preserve"> are areas where lawyers can rely on Article 15 in conjunction with </w:t>
            </w:r>
            <w:r w:rsidRPr="008622E5">
              <w:rPr>
                <w:rFonts w:asciiTheme="majorHAnsi" w:hAnsiTheme="majorHAnsi" w:cstheme="majorHAnsi"/>
                <w:b/>
                <w:bCs/>
                <w:iCs/>
                <w:lang w:val="en-GB"/>
              </w:rPr>
              <w:t>EU secondary law</w:t>
            </w:r>
            <w:r w:rsidRPr="008622E5">
              <w:rPr>
                <w:rFonts w:asciiTheme="majorHAnsi" w:hAnsiTheme="majorHAnsi" w:cstheme="majorHAnsi"/>
                <w:iCs/>
                <w:lang w:val="en-GB"/>
              </w:rPr>
              <w:t xml:space="preserve"> and free movement principles.</w:t>
            </w:r>
          </w:p>
          <w:p w14:paraId="13CC8D56" w14:textId="77777777" w:rsidR="006D49A7" w:rsidRPr="006D49A7" w:rsidRDefault="006D49A7" w:rsidP="004B1205">
            <w:pPr>
              <w:jc w:val="both"/>
              <w:rPr>
                <w:rFonts w:asciiTheme="majorHAnsi" w:hAnsiTheme="majorHAnsi" w:cstheme="majorHAnsi"/>
                <w:lang w:val="en-GB"/>
              </w:rPr>
            </w:pPr>
          </w:p>
          <w:p w14:paraId="251797F5" w14:textId="1D0253BD" w:rsidR="008E2D64" w:rsidRPr="008E2D64" w:rsidRDefault="008E2D64" w:rsidP="00541A2A">
            <w:pPr>
              <w:rPr>
                <w:rFonts w:ascii="Calibri" w:hAnsi="Calibri" w:cs="Calibri"/>
                <w:i/>
                <w:iCs/>
                <w:lang w:val="en-US"/>
              </w:rPr>
            </w:pPr>
          </w:p>
        </w:tc>
      </w:tr>
      <w:tr w:rsidR="00CA5340" w:rsidRPr="008E2D64" w14:paraId="0C5F89DE" w14:textId="77777777" w:rsidTr="00541A2A">
        <w:tc>
          <w:tcPr>
            <w:tcW w:w="8494" w:type="dxa"/>
          </w:tcPr>
          <w:p w14:paraId="2B76EC9A" w14:textId="1DCC6A15" w:rsidR="00CA5340" w:rsidRPr="009F095C" w:rsidRDefault="00CA5340" w:rsidP="00541A2A">
            <w:pPr>
              <w:rPr>
                <w:rFonts w:ascii="Calibri" w:hAnsi="Calibri" w:cs="Calibri"/>
                <w:b/>
                <w:bCs/>
                <w:sz w:val="28"/>
                <w:szCs w:val="28"/>
                <w:lang w:val="en-US"/>
              </w:rPr>
            </w:pPr>
            <w:r w:rsidRPr="009F095C">
              <w:rPr>
                <w:rFonts w:ascii="Calibri" w:hAnsi="Calibri" w:cs="Calibri"/>
                <w:b/>
                <w:bCs/>
                <w:color w:val="0070C0"/>
                <w:sz w:val="28"/>
                <w:szCs w:val="28"/>
                <w:lang w:val="en-US"/>
              </w:rPr>
              <w:t>Correspondence with other European/International instruments</w:t>
            </w:r>
          </w:p>
        </w:tc>
      </w:tr>
      <w:tr w:rsidR="00CA5340" w:rsidRPr="008E2D64" w14:paraId="46150B45" w14:textId="77777777" w:rsidTr="00541A2A">
        <w:tc>
          <w:tcPr>
            <w:tcW w:w="8494" w:type="dxa"/>
          </w:tcPr>
          <w:p w14:paraId="6303D8B7" w14:textId="77777777" w:rsidR="00CA5340" w:rsidRPr="009F095C" w:rsidRDefault="00CA5340" w:rsidP="00541A2A">
            <w:pPr>
              <w:rPr>
                <w:rFonts w:asciiTheme="majorHAnsi" w:hAnsiTheme="majorHAnsi" w:cstheme="majorHAnsi"/>
                <w:i/>
                <w:iCs/>
                <w:lang w:val="en-US"/>
              </w:rPr>
            </w:pPr>
          </w:p>
          <w:p w14:paraId="618C3BBE" w14:textId="77777777" w:rsidR="008622E5" w:rsidRPr="00AB5D5C" w:rsidRDefault="008622E5" w:rsidP="008622E5">
            <w:pPr>
              <w:pStyle w:val="Paragraphedeliste"/>
              <w:numPr>
                <w:ilvl w:val="0"/>
                <w:numId w:val="22"/>
              </w:numPr>
              <w:rPr>
                <w:rFonts w:ascii="Calibri" w:hAnsi="Calibri" w:cs="Calibri"/>
                <w:lang w:val="fr-FR"/>
              </w:rPr>
            </w:pPr>
            <w:r w:rsidRPr="00AB5D5C">
              <w:rPr>
                <w:rFonts w:ascii="Calibri" w:hAnsi="Calibri" w:cs="Calibri"/>
                <w:lang w:val="fr-FR"/>
              </w:rPr>
              <w:t>Article 23 and 24  UDHR</w:t>
            </w:r>
          </w:p>
          <w:p w14:paraId="5BDCC8FB" w14:textId="77777777" w:rsidR="008622E5" w:rsidRPr="00AB5D5C" w:rsidRDefault="008622E5" w:rsidP="008622E5">
            <w:pPr>
              <w:pStyle w:val="Paragraphedeliste"/>
              <w:numPr>
                <w:ilvl w:val="0"/>
                <w:numId w:val="22"/>
              </w:numPr>
              <w:rPr>
                <w:rFonts w:ascii="Calibri" w:hAnsi="Calibri" w:cs="Calibri"/>
                <w:lang w:val="fr-FR"/>
              </w:rPr>
            </w:pPr>
            <w:r w:rsidRPr="00AB5D5C">
              <w:rPr>
                <w:rFonts w:ascii="Calibri" w:hAnsi="Calibri" w:cs="Calibri"/>
                <w:lang w:val="fr-FR"/>
              </w:rPr>
              <w:t xml:space="preserve">Article 6-8 ICESCR </w:t>
            </w:r>
          </w:p>
          <w:p w14:paraId="401720AC" w14:textId="77777777" w:rsidR="008622E5" w:rsidRPr="00AB5D5C" w:rsidRDefault="008622E5" w:rsidP="008622E5">
            <w:pPr>
              <w:pStyle w:val="Paragraphedeliste"/>
              <w:numPr>
                <w:ilvl w:val="0"/>
                <w:numId w:val="22"/>
              </w:numPr>
              <w:rPr>
                <w:rFonts w:ascii="Calibri" w:hAnsi="Calibri" w:cs="Calibri"/>
                <w:lang w:val="fr-FR"/>
              </w:rPr>
            </w:pPr>
            <w:r w:rsidRPr="00AB5D5C">
              <w:rPr>
                <w:rFonts w:ascii="Calibri" w:hAnsi="Calibri" w:cs="Calibri"/>
                <w:lang w:val="fr-FR"/>
              </w:rPr>
              <w:t>Article 11 CEDAW</w:t>
            </w:r>
          </w:p>
          <w:p w14:paraId="524D3801" w14:textId="77777777" w:rsidR="008622E5" w:rsidRPr="00AB5D5C" w:rsidRDefault="008622E5" w:rsidP="008622E5">
            <w:pPr>
              <w:pStyle w:val="Paragraphedeliste"/>
              <w:numPr>
                <w:ilvl w:val="0"/>
                <w:numId w:val="22"/>
              </w:numPr>
              <w:rPr>
                <w:rFonts w:ascii="Calibri" w:hAnsi="Calibri" w:cs="Calibri"/>
                <w:lang w:val="en-US"/>
              </w:rPr>
            </w:pPr>
            <w:r w:rsidRPr="00AB5D5C">
              <w:rPr>
                <w:rFonts w:ascii="Calibri" w:hAnsi="Calibri" w:cs="Calibri"/>
                <w:lang w:val="en-US"/>
              </w:rPr>
              <w:lastRenderedPageBreak/>
              <w:t>Article ICERD</w:t>
            </w:r>
          </w:p>
          <w:p w14:paraId="4838CCC9" w14:textId="284E0AA4" w:rsidR="00EB0AE4" w:rsidRPr="008622E5" w:rsidRDefault="00EB0AE4" w:rsidP="008622E5">
            <w:pPr>
              <w:rPr>
                <w:rFonts w:asciiTheme="majorHAnsi" w:hAnsiTheme="majorHAnsi" w:cstheme="majorHAnsi"/>
              </w:rPr>
            </w:pPr>
          </w:p>
        </w:tc>
      </w:tr>
      <w:tr w:rsidR="00CA5340" w:rsidRPr="008E2D64" w14:paraId="0B26731A" w14:textId="77777777" w:rsidTr="00CA5340">
        <w:tc>
          <w:tcPr>
            <w:tcW w:w="8494" w:type="dxa"/>
          </w:tcPr>
          <w:p w14:paraId="75063B86" w14:textId="41A81A64" w:rsidR="00CA5340" w:rsidRPr="009F095C" w:rsidRDefault="00CA5340">
            <w:pPr>
              <w:rPr>
                <w:rFonts w:cstheme="minorHAnsi"/>
                <w:b/>
                <w:bCs/>
                <w:color w:val="000000" w:themeColor="text1"/>
                <w:lang w:val="en-US"/>
              </w:rPr>
            </w:pPr>
            <w:r w:rsidRPr="009F095C">
              <w:rPr>
                <w:rFonts w:cstheme="minorHAnsi"/>
                <w:b/>
                <w:bCs/>
                <w:color w:val="000000" w:themeColor="text1"/>
                <w:lang w:val="en-US"/>
              </w:rPr>
              <w:lastRenderedPageBreak/>
              <w:t>Further readings</w:t>
            </w:r>
          </w:p>
        </w:tc>
      </w:tr>
      <w:tr w:rsidR="00CA5340" w:rsidRPr="008E2D64" w14:paraId="2BA0518F" w14:textId="77777777" w:rsidTr="00CA5340">
        <w:tc>
          <w:tcPr>
            <w:tcW w:w="8494" w:type="dxa"/>
          </w:tcPr>
          <w:p w14:paraId="2FA1AE4B" w14:textId="77777777" w:rsidR="00CA5340" w:rsidRPr="009F095C" w:rsidRDefault="00CA5340">
            <w:pPr>
              <w:rPr>
                <w:rFonts w:asciiTheme="majorHAnsi" w:hAnsiTheme="majorHAnsi" w:cstheme="majorHAnsi"/>
                <w:i/>
                <w:iCs/>
                <w:color w:val="000000" w:themeColor="text1"/>
                <w:lang w:val="en-US"/>
              </w:rPr>
            </w:pPr>
          </w:p>
          <w:p w14:paraId="1CCE52EC"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P Alston, ‘The General Comments of the UN Committee on Economic, Social and Cultural  Rights’ (2010) 104 Proceedings of the Annual Meeting (The American Society International  Law) 4–7.</w:t>
            </w:r>
          </w:p>
          <w:p w14:paraId="324FEADF" w14:textId="77777777" w:rsidR="008622E5" w:rsidRPr="00B87109" w:rsidRDefault="008622E5" w:rsidP="008622E5">
            <w:pPr>
              <w:rPr>
                <w:iCs/>
                <w:color w:val="000000" w:themeColor="text1"/>
                <w:lang w:val="en-US"/>
              </w:rPr>
            </w:pPr>
          </w:p>
          <w:p w14:paraId="3EF23D43"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D Ashiagbor, ‘The Right to Work’ in G de Búrca and B de Witte (eds), Social Rights in  Europe (Oxford, OUP, 2005)., The European Employment Strategy: Labour Market Regulation and New Governance (Oxford, OUP, 2005).</w:t>
            </w:r>
          </w:p>
          <w:p w14:paraId="6E24FB6B" w14:textId="77777777" w:rsidR="008622E5" w:rsidRPr="00B87109" w:rsidRDefault="008622E5" w:rsidP="008622E5">
            <w:pPr>
              <w:rPr>
                <w:iCs/>
                <w:color w:val="000000" w:themeColor="text1"/>
                <w:lang w:val="en-US"/>
              </w:rPr>
            </w:pPr>
          </w:p>
          <w:p w14:paraId="1BCE2E09"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M Bell, ‘Walking in the Same Direction? The Contribution of the European Social Charter  and the European Union to Combating Discrimination’ in G de Búrca and B de Witte (eds),  Social Rights in Europe (Oxford, OUP, 2005).</w:t>
            </w:r>
          </w:p>
          <w:p w14:paraId="4FC8D3FA" w14:textId="77777777" w:rsidR="008622E5" w:rsidRPr="00B87109" w:rsidRDefault="008622E5" w:rsidP="008622E5">
            <w:pPr>
              <w:rPr>
                <w:iCs/>
                <w:color w:val="000000" w:themeColor="text1"/>
                <w:lang w:val="en-US"/>
              </w:rPr>
            </w:pPr>
          </w:p>
          <w:p w14:paraId="66790D50"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H Collins, ‘Is there a Human Right to Work?’, in V. Mantouvalou (ed) The Right to Work – Legal and Philosophical Perspectives (Oxford, Hart, 2015).</w:t>
            </w:r>
          </w:p>
          <w:p w14:paraId="4D009AB1"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M Craven, The International Covenant on Economic, Social and Cultural Rights: A  perspective on its development (Oxford, Clarendon Press, 1998).</w:t>
            </w:r>
          </w:p>
          <w:p w14:paraId="2B3B4FF8" w14:textId="77777777" w:rsidR="008622E5" w:rsidRPr="00B87109" w:rsidRDefault="008622E5" w:rsidP="008622E5">
            <w:pPr>
              <w:rPr>
                <w:iCs/>
                <w:color w:val="000000" w:themeColor="text1"/>
                <w:lang w:val="en-US"/>
              </w:rPr>
            </w:pPr>
          </w:p>
          <w:p w14:paraId="1D77A481"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S Deakin, ‘Article 1 – The Right to Work’, in N. Bruun, K. Lorcher, I. Schoemann and S.  Clauwaert (eds) The European Social Charter and the Employment Relation (Oxford: Hart, 2017) 147</w:t>
            </w:r>
          </w:p>
          <w:p w14:paraId="11EEA050" w14:textId="77777777" w:rsidR="008622E5" w:rsidRPr="00B87109" w:rsidRDefault="008622E5" w:rsidP="008622E5">
            <w:pPr>
              <w:rPr>
                <w:iCs/>
                <w:color w:val="000000" w:themeColor="text1"/>
                <w:lang w:val="en-US"/>
              </w:rPr>
            </w:pPr>
          </w:p>
          <w:p w14:paraId="0A88E06D"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J Elster, ‘Self-realization in Work and Politics: the Marxist Conception of the Good Life’  (1986) Social Philosophy &amp; Policy 97–126.——, ‘Is there (or should there be) a right to work?’ in A Gutmann (ed), Democracy and the  Welfare State (Princeton, Princeton University Press, 1988).</w:t>
            </w:r>
          </w:p>
          <w:p w14:paraId="40167463" w14:textId="77777777" w:rsidR="008622E5" w:rsidRPr="00B87109" w:rsidRDefault="008622E5" w:rsidP="008622E5">
            <w:pPr>
              <w:rPr>
                <w:iCs/>
                <w:color w:val="000000" w:themeColor="text1"/>
                <w:lang w:val="en-US"/>
              </w:rPr>
            </w:pPr>
          </w:p>
          <w:p w14:paraId="387BDC0C"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E Frantziou, The Horizontal Effect of Fundamental Rights in the European Union: A  Constitutional Analysis (OUP 2019).</w:t>
            </w:r>
          </w:p>
          <w:p w14:paraId="02B58949" w14:textId="77777777" w:rsidR="008622E5" w:rsidRPr="00B87109" w:rsidRDefault="008622E5" w:rsidP="008622E5">
            <w:pPr>
              <w:rPr>
                <w:iCs/>
                <w:color w:val="000000" w:themeColor="text1"/>
                <w:lang w:val="en-US"/>
              </w:rPr>
            </w:pPr>
          </w:p>
          <w:p w14:paraId="09606F98"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B Hepple, ‘A Right to Work?’ (1981) 10(1) Industrial Law Journal 65–83.</w:t>
            </w:r>
          </w:p>
          <w:p w14:paraId="53A5C4EE"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D Little, ‘Job Elster’ in W Samuels (ed), New Horizons in Economic Thought: Appraisals of  Leading Economists (Cheltenham, Edward Elgar Publishing, 1992).</w:t>
            </w:r>
          </w:p>
          <w:p w14:paraId="1980BD77" w14:textId="77777777" w:rsidR="008622E5" w:rsidRPr="00B87109" w:rsidRDefault="008622E5" w:rsidP="008622E5">
            <w:pPr>
              <w:rPr>
                <w:iCs/>
                <w:color w:val="000000" w:themeColor="text1"/>
                <w:lang w:val="en-US"/>
              </w:rPr>
            </w:pPr>
          </w:p>
          <w:p w14:paraId="7AF12EB5"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V Mantouvalou (ed), The Right to Work: Legal and Philosophical Perspectives (Oxford, Hart, 2015)——, ‘Work and Private Life: Sidabras and Dziautas v Lithuania’, (2005) European Law  Review 575</w:t>
            </w:r>
          </w:p>
          <w:p w14:paraId="1199C39A" w14:textId="77777777" w:rsidR="008622E5" w:rsidRPr="00B87109" w:rsidRDefault="008622E5" w:rsidP="008622E5">
            <w:pPr>
              <w:rPr>
                <w:iCs/>
                <w:color w:val="000000" w:themeColor="text1"/>
                <w:lang w:val="en-US"/>
              </w:rPr>
            </w:pPr>
          </w:p>
          <w:p w14:paraId="52F1A982"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t>G Mundlak, ‘The right to work: Linking human rights and employment policy’ (2007) , 146(3–4) International Labour Review 189–215.</w:t>
            </w:r>
          </w:p>
          <w:p w14:paraId="1C00D3C5" w14:textId="77777777" w:rsidR="008622E5" w:rsidRPr="00B87109" w:rsidRDefault="008622E5" w:rsidP="008622E5">
            <w:pPr>
              <w:rPr>
                <w:iCs/>
                <w:color w:val="000000" w:themeColor="text1"/>
                <w:lang w:val="en-US"/>
              </w:rPr>
            </w:pPr>
          </w:p>
          <w:p w14:paraId="43CC11B8" w14:textId="0F0E6EC0" w:rsidR="008622E5" w:rsidRPr="008622E5" w:rsidRDefault="008622E5" w:rsidP="008622E5">
            <w:pPr>
              <w:pStyle w:val="Paragraphedeliste"/>
              <w:numPr>
                <w:ilvl w:val="0"/>
                <w:numId w:val="23"/>
              </w:numPr>
              <w:rPr>
                <w:iCs/>
                <w:color w:val="000000" w:themeColor="text1"/>
                <w:lang w:val="en-US"/>
              </w:rPr>
            </w:pPr>
            <w:r w:rsidRPr="00B87109">
              <w:rPr>
                <w:iCs/>
                <w:color w:val="000000" w:themeColor="text1"/>
                <w:lang w:val="en-US"/>
              </w:rPr>
              <w:t>C O’Cinneide, ‘The Right to Work in International Human Rights Law’, V. Mantouvalou  (ed) The Right to Work – Legal and Philosophical Perspectives (Oxford, Hart, 2015).</w:t>
            </w:r>
          </w:p>
          <w:p w14:paraId="06D09B7C" w14:textId="77777777" w:rsidR="008622E5" w:rsidRPr="00B87109" w:rsidRDefault="008622E5" w:rsidP="008622E5">
            <w:pPr>
              <w:pStyle w:val="Paragraphedeliste"/>
              <w:numPr>
                <w:ilvl w:val="0"/>
                <w:numId w:val="23"/>
              </w:numPr>
              <w:rPr>
                <w:iCs/>
                <w:color w:val="000000" w:themeColor="text1"/>
                <w:lang w:val="en-US"/>
              </w:rPr>
            </w:pPr>
            <w:r w:rsidRPr="00B87109">
              <w:rPr>
                <w:iCs/>
                <w:color w:val="000000" w:themeColor="text1"/>
                <w:lang w:val="en-US"/>
              </w:rPr>
              <w:lastRenderedPageBreak/>
              <w:t>A Supiot et al, Beyond Employment: Changes in Work and the Future of Labour Law in  Europe (Oxford, OUP, 2001)</w:t>
            </w:r>
            <w:r w:rsidRPr="00B87109">
              <w:rPr>
                <w:iCs/>
                <w:color w:val="000000" w:themeColor="text1"/>
                <w:lang w:val="en-US"/>
              </w:rPr>
              <w:cr/>
            </w:r>
          </w:p>
          <w:p w14:paraId="0DA5C5C2" w14:textId="460E5A0E" w:rsidR="00CA5340" w:rsidRPr="009F095C" w:rsidRDefault="00CA5340" w:rsidP="007F47B5">
            <w:pPr>
              <w:rPr>
                <w:rFonts w:asciiTheme="majorHAnsi" w:hAnsiTheme="majorHAnsi" w:cstheme="majorHAnsi"/>
                <w:i/>
                <w:iCs/>
                <w:color w:val="000000" w:themeColor="text1"/>
                <w:lang w:val="en-US"/>
              </w:rPr>
            </w:pPr>
          </w:p>
        </w:tc>
      </w:tr>
    </w:tbl>
    <w:p w14:paraId="4967EA04" w14:textId="77777777" w:rsidR="00CA5340" w:rsidRDefault="00CA5340">
      <w:pPr>
        <w:rPr>
          <w:rFonts w:ascii="Calibri" w:hAnsi="Calibri" w:cs="Calibri"/>
          <w:sz w:val="22"/>
          <w:szCs w:val="22"/>
          <w:lang w:val="en-US"/>
        </w:rPr>
      </w:pPr>
    </w:p>
    <w:sectPr w:rsidR="00CA5340" w:rsidSect="00DC53A0">
      <w:headerReference w:type="default" r:id="rId9"/>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04706"/>
    <w:multiLevelType w:val="hybridMultilevel"/>
    <w:tmpl w:val="43FC83C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6A1133"/>
    <w:multiLevelType w:val="multilevel"/>
    <w:tmpl w:val="0C30C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7D6082"/>
    <w:multiLevelType w:val="multilevel"/>
    <w:tmpl w:val="4EE8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40EF5366"/>
    <w:multiLevelType w:val="multilevel"/>
    <w:tmpl w:val="914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46B44"/>
    <w:multiLevelType w:val="multilevel"/>
    <w:tmpl w:val="B8B6B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65984A00"/>
    <w:multiLevelType w:val="multilevel"/>
    <w:tmpl w:val="4FFA9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136476"/>
    <w:multiLevelType w:val="hybridMultilevel"/>
    <w:tmpl w:val="813C68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641931999">
    <w:abstractNumId w:val="15"/>
  </w:num>
  <w:num w:numId="2" w16cid:durableId="75979654">
    <w:abstractNumId w:val="17"/>
  </w:num>
  <w:num w:numId="3" w16cid:durableId="1904831463">
    <w:abstractNumId w:val="2"/>
  </w:num>
  <w:num w:numId="4" w16cid:durableId="1503398700">
    <w:abstractNumId w:val="14"/>
  </w:num>
  <w:num w:numId="5" w16cid:durableId="1035890506">
    <w:abstractNumId w:val="10"/>
  </w:num>
  <w:num w:numId="6" w16cid:durableId="1804224680">
    <w:abstractNumId w:val="8"/>
  </w:num>
  <w:num w:numId="7" w16cid:durableId="2060200701">
    <w:abstractNumId w:val="19"/>
  </w:num>
  <w:num w:numId="8" w16cid:durableId="260378364">
    <w:abstractNumId w:val="7"/>
  </w:num>
  <w:num w:numId="9" w16cid:durableId="107169521">
    <w:abstractNumId w:val="20"/>
  </w:num>
  <w:num w:numId="10" w16cid:durableId="2117289083">
    <w:abstractNumId w:val="13"/>
  </w:num>
  <w:num w:numId="11" w16cid:durableId="1042285177">
    <w:abstractNumId w:val="16"/>
  </w:num>
  <w:num w:numId="12" w16cid:durableId="413472436">
    <w:abstractNumId w:val="9"/>
  </w:num>
  <w:num w:numId="13" w16cid:durableId="1990789623">
    <w:abstractNumId w:val="4"/>
  </w:num>
  <w:num w:numId="14" w16cid:durableId="1049305517">
    <w:abstractNumId w:val="21"/>
  </w:num>
  <w:num w:numId="15" w16cid:durableId="325205896">
    <w:abstractNumId w:val="5"/>
  </w:num>
  <w:num w:numId="16" w16cid:durableId="747115462">
    <w:abstractNumId w:val="3"/>
  </w:num>
  <w:num w:numId="17" w16cid:durableId="588662440">
    <w:abstractNumId w:val="6"/>
  </w:num>
  <w:num w:numId="18" w16cid:durableId="23756321">
    <w:abstractNumId w:val="18"/>
  </w:num>
  <w:num w:numId="19" w16cid:durableId="1249080175">
    <w:abstractNumId w:val="1"/>
  </w:num>
  <w:num w:numId="20" w16cid:durableId="1059669603">
    <w:abstractNumId w:val="11"/>
  </w:num>
  <w:num w:numId="21" w16cid:durableId="561795896">
    <w:abstractNumId w:val="12"/>
  </w:num>
  <w:num w:numId="22" w16cid:durableId="1761683278">
    <w:abstractNumId w:val="0"/>
  </w:num>
  <w:num w:numId="23" w16cid:durableId="1452086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71D94"/>
    <w:rsid w:val="000808E3"/>
    <w:rsid w:val="000969B1"/>
    <w:rsid w:val="000C3116"/>
    <w:rsid w:val="000C338A"/>
    <w:rsid w:val="000D5EDC"/>
    <w:rsid w:val="000E3179"/>
    <w:rsid w:val="000F2478"/>
    <w:rsid w:val="00125C2F"/>
    <w:rsid w:val="00131343"/>
    <w:rsid w:val="001331B6"/>
    <w:rsid w:val="00185ED2"/>
    <w:rsid w:val="001B1D88"/>
    <w:rsid w:val="00254F16"/>
    <w:rsid w:val="002A06C2"/>
    <w:rsid w:val="002B04E0"/>
    <w:rsid w:val="002D7EFC"/>
    <w:rsid w:val="002E2D27"/>
    <w:rsid w:val="002E55BA"/>
    <w:rsid w:val="002F6B2D"/>
    <w:rsid w:val="0033291B"/>
    <w:rsid w:val="00390CC1"/>
    <w:rsid w:val="003A537F"/>
    <w:rsid w:val="003C4CA4"/>
    <w:rsid w:val="00412D4C"/>
    <w:rsid w:val="004B1205"/>
    <w:rsid w:val="004B653B"/>
    <w:rsid w:val="00530078"/>
    <w:rsid w:val="00535429"/>
    <w:rsid w:val="00552F47"/>
    <w:rsid w:val="005E4B1D"/>
    <w:rsid w:val="005F3A64"/>
    <w:rsid w:val="0067453B"/>
    <w:rsid w:val="006C20DF"/>
    <w:rsid w:val="006C502E"/>
    <w:rsid w:val="006D49A7"/>
    <w:rsid w:val="006E2B14"/>
    <w:rsid w:val="007079C1"/>
    <w:rsid w:val="00711C0F"/>
    <w:rsid w:val="00713D75"/>
    <w:rsid w:val="007329D3"/>
    <w:rsid w:val="00750965"/>
    <w:rsid w:val="007B4007"/>
    <w:rsid w:val="007F47B5"/>
    <w:rsid w:val="008208D6"/>
    <w:rsid w:val="008266E0"/>
    <w:rsid w:val="00846E73"/>
    <w:rsid w:val="008622E5"/>
    <w:rsid w:val="00873CA7"/>
    <w:rsid w:val="00895DB6"/>
    <w:rsid w:val="00895E65"/>
    <w:rsid w:val="008A5094"/>
    <w:rsid w:val="008E2D64"/>
    <w:rsid w:val="0095779A"/>
    <w:rsid w:val="009B2955"/>
    <w:rsid w:val="009B53E5"/>
    <w:rsid w:val="009D4AC1"/>
    <w:rsid w:val="009F095C"/>
    <w:rsid w:val="00A24803"/>
    <w:rsid w:val="00A40F02"/>
    <w:rsid w:val="00A42F8F"/>
    <w:rsid w:val="00A57918"/>
    <w:rsid w:val="00A83505"/>
    <w:rsid w:val="00AD347A"/>
    <w:rsid w:val="00AD7371"/>
    <w:rsid w:val="00AF1C04"/>
    <w:rsid w:val="00B135BF"/>
    <w:rsid w:val="00B24B22"/>
    <w:rsid w:val="00B436EB"/>
    <w:rsid w:val="00B55EE2"/>
    <w:rsid w:val="00B640B4"/>
    <w:rsid w:val="00C51A5B"/>
    <w:rsid w:val="00C71D38"/>
    <w:rsid w:val="00C75647"/>
    <w:rsid w:val="00C85CB5"/>
    <w:rsid w:val="00CA5340"/>
    <w:rsid w:val="00CC124C"/>
    <w:rsid w:val="00CD3B67"/>
    <w:rsid w:val="00D836DD"/>
    <w:rsid w:val="00DC4BE8"/>
    <w:rsid w:val="00DC53A0"/>
    <w:rsid w:val="00DC551B"/>
    <w:rsid w:val="00DE0388"/>
    <w:rsid w:val="00E53B97"/>
    <w:rsid w:val="00E84AF0"/>
    <w:rsid w:val="00EB0AE4"/>
    <w:rsid w:val="00F13902"/>
    <w:rsid w:val="00F31726"/>
    <w:rsid w:val="00F44A11"/>
    <w:rsid w:val="00F46745"/>
    <w:rsid w:val="00F71601"/>
    <w:rsid w:val="00FE61E5"/>
    <w:rsid w:val="00FE62A0"/>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1786</Words>
  <Characters>10181</Characters>
  <Application>Microsoft Office Word</Application>
  <DocSecurity>0</DocSecurity>
  <Lines>84</Lines>
  <Paragraphs>23</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4</cp:revision>
  <dcterms:created xsi:type="dcterms:W3CDTF">2025-02-03T14:31:00Z</dcterms:created>
  <dcterms:modified xsi:type="dcterms:W3CDTF">2025-02-11T11:13:00Z</dcterms:modified>
</cp:coreProperties>
</file>